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4D8A" w:rsidRPr="00DE5929" w:rsidRDefault="00F24D8A" w:rsidP="00F24D8A">
      <w:pPr>
        <w:rPr>
          <w:rFonts w:eastAsia="SimSun" w:cs="Arial"/>
          <w:kern w:val="0"/>
          <w:sz w:val="24"/>
          <w:szCs w:val="24"/>
        </w:rPr>
      </w:pPr>
      <w:r w:rsidRPr="00DE5929">
        <w:rPr>
          <w:rFonts w:eastAsia="SimSun" w:cs="Arial"/>
          <w:kern w:val="0"/>
          <w:sz w:val="24"/>
          <w:szCs w:val="24"/>
        </w:rPr>
        <w:t xml:space="preserve">The </w:t>
      </w:r>
      <w:r>
        <w:rPr>
          <w:rFonts w:eastAsia="SimSun" w:cs="Arial" w:hint="eastAsia"/>
          <w:kern w:val="0"/>
          <w:sz w:val="24"/>
          <w:szCs w:val="24"/>
        </w:rPr>
        <w:t>length of stay (</w:t>
      </w:r>
      <w:r w:rsidRPr="00DE5929">
        <w:rPr>
          <w:rFonts w:eastAsia="SimSun" w:cs="Arial"/>
          <w:kern w:val="0"/>
          <w:sz w:val="24"/>
          <w:szCs w:val="24"/>
        </w:rPr>
        <w:t>LOS</w:t>
      </w:r>
      <w:r>
        <w:rPr>
          <w:rFonts w:eastAsia="SimSun" w:cs="Arial" w:hint="eastAsia"/>
          <w:kern w:val="0"/>
          <w:sz w:val="24"/>
          <w:szCs w:val="24"/>
        </w:rPr>
        <w:t>)</w:t>
      </w:r>
      <w:r w:rsidRPr="00DE5929">
        <w:rPr>
          <w:rFonts w:eastAsia="SimSun" w:cs="Arial"/>
          <w:kern w:val="0"/>
          <w:sz w:val="24"/>
          <w:szCs w:val="24"/>
        </w:rPr>
        <w:t xml:space="preserve"> was considered of log normal distribution and the risk-standardization model was run using the PROC GLIMMIX in SAS with LOS as the outcome and the ‘link=log’ specification. Therefore, the model coefficients as well as the residuals are on the log scale of LOS and the interpretation of the exponential of each coefficient would be ratio of the LOS comparing a specific characteristic category with its reference category. </w:t>
      </w:r>
    </w:p>
    <w:p w:rsidR="00F24D8A" w:rsidRPr="00DE5929" w:rsidRDefault="00F24D8A" w:rsidP="00F24D8A">
      <w:pPr>
        <w:rPr>
          <w:rFonts w:eastAsia="SimSun" w:cs="Arial"/>
          <w:kern w:val="0"/>
          <w:sz w:val="24"/>
          <w:szCs w:val="24"/>
        </w:rPr>
      </w:pPr>
    </w:p>
    <w:p w:rsidR="00F24D8A" w:rsidRPr="00DE5929" w:rsidRDefault="00F24D8A" w:rsidP="00F24D8A">
      <w:pPr>
        <w:rPr>
          <w:sz w:val="24"/>
          <w:szCs w:val="24"/>
        </w:rPr>
      </w:pPr>
      <w:r>
        <w:rPr>
          <w:rFonts w:hint="eastAsia"/>
          <w:sz w:val="24"/>
          <w:szCs w:val="24"/>
        </w:rPr>
        <w:t>T</w:t>
      </w:r>
      <w:r w:rsidRPr="00DE5929">
        <w:rPr>
          <w:rFonts w:hint="eastAsia"/>
          <w:sz w:val="24"/>
          <w:szCs w:val="24"/>
        </w:rPr>
        <w:t xml:space="preserve">he coefficients for the variables included in the risk-standardization model, the </w:t>
      </w:r>
      <w:r w:rsidRPr="00DE5929">
        <w:rPr>
          <w:sz w:val="24"/>
          <w:szCs w:val="24"/>
        </w:rPr>
        <w:t>exponential</w:t>
      </w:r>
      <w:r w:rsidRPr="00DE5929">
        <w:rPr>
          <w:rFonts w:hint="eastAsia"/>
          <w:sz w:val="24"/>
          <w:szCs w:val="24"/>
        </w:rPr>
        <w:t xml:space="preserve"> of the coefficients, and the p-values </w:t>
      </w:r>
      <w:r>
        <w:rPr>
          <w:rFonts w:hint="eastAsia"/>
          <w:sz w:val="24"/>
          <w:szCs w:val="24"/>
        </w:rPr>
        <w:t xml:space="preserve">are shown </w:t>
      </w:r>
      <w:r w:rsidRPr="00DE5929">
        <w:rPr>
          <w:rFonts w:hint="eastAsia"/>
          <w:sz w:val="24"/>
          <w:szCs w:val="24"/>
        </w:rPr>
        <w:t>in the table below.</w:t>
      </w:r>
    </w:p>
    <w:p w:rsidR="00F24D8A" w:rsidRDefault="00F24D8A" w:rsidP="00F24D8A">
      <w:pPr>
        <w:rPr>
          <w:szCs w:val="21"/>
        </w:rPr>
      </w:pPr>
    </w:p>
    <w:tbl>
      <w:tblPr>
        <w:tblStyle w:val="a3"/>
        <w:tblW w:w="0" w:type="auto"/>
        <w:tblInd w:w="108" w:type="dxa"/>
        <w:tblBorders>
          <w:left w:val="none" w:sz="0" w:space="0" w:color="auto"/>
          <w:right w:val="none" w:sz="0" w:space="0" w:color="auto"/>
          <w:insideH w:val="none" w:sz="0" w:space="0" w:color="auto"/>
          <w:insideV w:val="none" w:sz="0" w:space="0" w:color="auto"/>
        </w:tblBorders>
        <w:tblLayout w:type="fixed"/>
        <w:tblLook w:val="04A0"/>
      </w:tblPr>
      <w:tblGrid>
        <w:gridCol w:w="2977"/>
        <w:gridCol w:w="1701"/>
        <w:gridCol w:w="1985"/>
        <w:gridCol w:w="1417"/>
      </w:tblGrid>
      <w:tr w:rsidR="00F24D8A" w:rsidRPr="0055706F" w:rsidTr="00581798">
        <w:tc>
          <w:tcPr>
            <w:tcW w:w="2977" w:type="dxa"/>
            <w:tcBorders>
              <w:top w:val="single" w:sz="4" w:space="0" w:color="auto"/>
              <w:bottom w:val="single" w:sz="4" w:space="0" w:color="auto"/>
            </w:tcBorders>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Variable</w:t>
            </w:r>
          </w:p>
        </w:tc>
        <w:tc>
          <w:tcPr>
            <w:tcW w:w="1701" w:type="dxa"/>
            <w:tcBorders>
              <w:top w:val="single" w:sz="4" w:space="0" w:color="auto"/>
              <w:bottom w:val="single" w:sz="4" w:space="0" w:color="auto"/>
            </w:tcBorders>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Coefficient</w:t>
            </w:r>
          </w:p>
        </w:tc>
        <w:tc>
          <w:tcPr>
            <w:tcW w:w="1985" w:type="dxa"/>
            <w:tcBorders>
              <w:top w:val="single" w:sz="4" w:space="0" w:color="auto"/>
              <w:bottom w:val="single" w:sz="4" w:space="0" w:color="auto"/>
            </w:tcBorders>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Exp(coefficient)</w:t>
            </w:r>
          </w:p>
        </w:tc>
        <w:tc>
          <w:tcPr>
            <w:tcW w:w="1417" w:type="dxa"/>
            <w:tcBorders>
              <w:top w:val="single" w:sz="4" w:space="0" w:color="auto"/>
              <w:bottom w:val="single" w:sz="4" w:space="0" w:color="auto"/>
            </w:tcBorders>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p-value</w:t>
            </w:r>
          </w:p>
        </w:tc>
      </w:tr>
      <w:tr w:rsidR="00F24D8A" w:rsidRPr="0055706F" w:rsidTr="00581798">
        <w:tc>
          <w:tcPr>
            <w:tcW w:w="2977" w:type="dxa"/>
            <w:tcBorders>
              <w:top w:val="single" w:sz="4" w:space="0" w:color="auto"/>
            </w:tcBorders>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Intercept</w:t>
            </w:r>
          </w:p>
        </w:tc>
        <w:tc>
          <w:tcPr>
            <w:tcW w:w="1701" w:type="dxa"/>
            <w:tcBorders>
              <w:top w:val="single" w:sz="4" w:space="0" w:color="auto"/>
            </w:tcBorders>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2.6700</w:t>
            </w:r>
          </w:p>
        </w:tc>
        <w:tc>
          <w:tcPr>
            <w:tcW w:w="1985" w:type="dxa"/>
            <w:tcBorders>
              <w:top w:val="single" w:sz="4" w:space="0" w:color="auto"/>
            </w:tcBorders>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w:t>
            </w:r>
          </w:p>
        </w:tc>
        <w:tc>
          <w:tcPr>
            <w:tcW w:w="1417" w:type="dxa"/>
            <w:tcBorders>
              <w:top w:val="single" w:sz="4" w:space="0" w:color="auto"/>
            </w:tcBorders>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&lt;0.0001</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 xml:space="preserve">Year </w:t>
            </w:r>
          </w:p>
        </w:tc>
        <w:tc>
          <w:tcPr>
            <w:tcW w:w="1701" w:type="dxa"/>
            <w:vAlign w:val="center"/>
          </w:tcPr>
          <w:p w:rsidR="00F24D8A" w:rsidRPr="0055706F" w:rsidRDefault="00F24D8A" w:rsidP="00581798">
            <w:pPr>
              <w:rPr>
                <w:rFonts w:ascii="SAS Monospace" w:hAnsi="SAS Monospace"/>
                <w:sz w:val="18"/>
                <w:szCs w:val="18"/>
              </w:rPr>
            </w:pPr>
          </w:p>
        </w:tc>
        <w:tc>
          <w:tcPr>
            <w:tcW w:w="1985" w:type="dxa"/>
            <w:vAlign w:val="center"/>
          </w:tcPr>
          <w:p w:rsidR="00F24D8A" w:rsidRPr="0055706F" w:rsidRDefault="00F24D8A" w:rsidP="00581798">
            <w:pPr>
              <w:rPr>
                <w:rFonts w:ascii="SAS Monospace" w:hAnsi="SAS Monospace"/>
                <w:sz w:val="18"/>
                <w:szCs w:val="18"/>
              </w:rPr>
            </w:pPr>
          </w:p>
        </w:tc>
        <w:tc>
          <w:tcPr>
            <w:tcW w:w="1417" w:type="dxa"/>
            <w:vAlign w:val="center"/>
          </w:tcPr>
          <w:p w:rsidR="00F24D8A" w:rsidRPr="0055706F" w:rsidRDefault="00F24D8A" w:rsidP="00581798">
            <w:pPr>
              <w:rPr>
                <w:rFonts w:ascii="SAS Monospace" w:hAnsi="SAS Monospace"/>
                <w:sz w:val="18"/>
                <w:szCs w:val="18"/>
              </w:rPr>
            </w:pP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 xml:space="preserve">  2001</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0.2231</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1.2499</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&lt;0.0001</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 xml:space="preserve">  2006</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0.0769</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1.0799</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&lt;0.0001</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 xml:space="preserve">  2011 (reference)</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w:t>
            </w:r>
          </w:p>
        </w:tc>
        <w:tc>
          <w:tcPr>
            <w:tcW w:w="1985" w:type="dxa"/>
            <w:vAlign w:val="center"/>
          </w:tcPr>
          <w:p w:rsidR="00F24D8A" w:rsidRPr="0055706F" w:rsidRDefault="00F24D8A" w:rsidP="00581798">
            <w:pPr>
              <w:rPr>
                <w:rFonts w:ascii="SAS Monospace" w:hAnsi="SAS Monospace"/>
                <w:sz w:val="18"/>
                <w:szCs w:val="18"/>
              </w:rPr>
            </w:pPr>
          </w:p>
        </w:tc>
        <w:tc>
          <w:tcPr>
            <w:tcW w:w="1417" w:type="dxa"/>
            <w:vAlign w:val="center"/>
          </w:tcPr>
          <w:p w:rsidR="00F24D8A" w:rsidRPr="0055706F" w:rsidRDefault="00F24D8A" w:rsidP="00581798">
            <w:pPr>
              <w:rPr>
                <w:rFonts w:ascii="SAS Monospace" w:hAnsi="SAS Monospace"/>
                <w:sz w:val="18"/>
                <w:szCs w:val="18"/>
              </w:rPr>
            </w:pP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Age, years</w:t>
            </w:r>
          </w:p>
        </w:tc>
        <w:tc>
          <w:tcPr>
            <w:tcW w:w="1701" w:type="dxa"/>
            <w:vAlign w:val="center"/>
          </w:tcPr>
          <w:p w:rsidR="00F24D8A" w:rsidRPr="0055706F" w:rsidRDefault="00F24D8A" w:rsidP="00581798">
            <w:pPr>
              <w:rPr>
                <w:rFonts w:ascii="SAS Monospace" w:hAnsi="SAS Monospace"/>
                <w:sz w:val="18"/>
                <w:szCs w:val="18"/>
              </w:rPr>
            </w:pPr>
          </w:p>
        </w:tc>
        <w:tc>
          <w:tcPr>
            <w:tcW w:w="1985" w:type="dxa"/>
            <w:vAlign w:val="center"/>
          </w:tcPr>
          <w:p w:rsidR="00F24D8A" w:rsidRPr="0055706F" w:rsidRDefault="00F24D8A" w:rsidP="00581798">
            <w:pPr>
              <w:rPr>
                <w:rFonts w:ascii="SAS Monospace" w:hAnsi="SAS Monospace"/>
                <w:sz w:val="18"/>
                <w:szCs w:val="18"/>
              </w:rPr>
            </w:pPr>
          </w:p>
        </w:tc>
        <w:tc>
          <w:tcPr>
            <w:tcW w:w="1417" w:type="dxa"/>
            <w:vAlign w:val="center"/>
          </w:tcPr>
          <w:p w:rsidR="00F24D8A" w:rsidRPr="0055706F" w:rsidRDefault="00F24D8A" w:rsidP="00581798">
            <w:pPr>
              <w:rPr>
                <w:rFonts w:ascii="SAS Monospace" w:hAnsi="SAS Monospace"/>
                <w:sz w:val="18"/>
                <w:szCs w:val="18"/>
              </w:rPr>
            </w:pP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 xml:space="preserve">  &lt;55</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-0.0538</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0.9476</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0.0005</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 xml:space="preserve">  55-64</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0.0143</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1.0144</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0.2992</w:t>
            </w:r>
          </w:p>
        </w:tc>
      </w:tr>
      <w:tr w:rsidR="00F24D8A" w:rsidRPr="0055706F" w:rsidTr="00581798">
        <w:tc>
          <w:tcPr>
            <w:tcW w:w="2977" w:type="dxa"/>
            <w:vAlign w:val="center"/>
          </w:tcPr>
          <w:p w:rsidR="00F24D8A" w:rsidRPr="0055706F" w:rsidRDefault="00F24D8A" w:rsidP="00581798">
            <w:pPr>
              <w:ind w:firstLineChars="100" w:firstLine="180"/>
              <w:rPr>
                <w:rFonts w:ascii="SAS Monospace" w:hAnsi="SAS Monospace"/>
                <w:sz w:val="18"/>
                <w:szCs w:val="18"/>
              </w:rPr>
            </w:pPr>
            <w:r w:rsidRPr="0055706F">
              <w:rPr>
                <w:rFonts w:ascii="SAS Monospace" w:hAnsi="SAS Monospace"/>
                <w:sz w:val="18"/>
                <w:szCs w:val="18"/>
              </w:rPr>
              <w:t>65-74</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0.0045</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1.0045</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0.7145</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 xml:space="preserve">  </w:t>
            </w:r>
            <w:r w:rsidRPr="0055706F">
              <w:rPr>
                <w:sz w:val="18"/>
                <w:szCs w:val="18"/>
              </w:rPr>
              <w:t>≥</w:t>
            </w:r>
            <w:r w:rsidRPr="0055706F">
              <w:rPr>
                <w:rFonts w:ascii="SAS Monospace" w:hAnsi="SAS Monospace"/>
                <w:sz w:val="18"/>
                <w:szCs w:val="18"/>
              </w:rPr>
              <w:t>65 (reference)</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w:t>
            </w:r>
          </w:p>
        </w:tc>
        <w:tc>
          <w:tcPr>
            <w:tcW w:w="1985" w:type="dxa"/>
            <w:vAlign w:val="center"/>
          </w:tcPr>
          <w:p w:rsidR="00F24D8A" w:rsidRPr="0055706F" w:rsidRDefault="00F24D8A" w:rsidP="00581798">
            <w:pPr>
              <w:rPr>
                <w:rFonts w:ascii="SAS Monospace" w:hAnsi="SAS Monospace"/>
                <w:sz w:val="18"/>
                <w:szCs w:val="18"/>
              </w:rPr>
            </w:pPr>
          </w:p>
        </w:tc>
        <w:tc>
          <w:tcPr>
            <w:tcW w:w="1417" w:type="dxa"/>
            <w:vAlign w:val="center"/>
          </w:tcPr>
          <w:p w:rsidR="00F24D8A" w:rsidRPr="0055706F" w:rsidRDefault="00F24D8A" w:rsidP="00581798">
            <w:pPr>
              <w:rPr>
                <w:rFonts w:ascii="SAS Monospace" w:hAnsi="SAS Monospace"/>
                <w:sz w:val="18"/>
                <w:szCs w:val="18"/>
              </w:rPr>
            </w:pP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Male vs. female</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0.0293</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1.0297</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0.0060</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Place of residence</w:t>
            </w:r>
          </w:p>
        </w:tc>
        <w:tc>
          <w:tcPr>
            <w:tcW w:w="1701" w:type="dxa"/>
            <w:vAlign w:val="center"/>
          </w:tcPr>
          <w:p w:rsidR="00F24D8A" w:rsidRPr="0055706F" w:rsidRDefault="00F24D8A" w:rsidP="00581798">
            <w:pPr>
              <w:rPr>
                <w:rFonts w:ascii="SAS Monospace" w:hAnsi="SAS Monospace"/>
                <w:sz w:val="18"/>
                <w:szCs w:val="18"/>
              </w:rPr>
            </w:pPr>
          </w:p>
        </w:tc>
        <w:tc>
          <w:tcPr>
            <w:tcW w:w="1985" w:type="dxa"/>
            <w:vAlign w:val="center"/>
          </w:tcPr>
          <w:p w:rsidR="00F24D8A" w:rsidRPr="0055706F" w:rsidRDefault="00F24D8A" w:rsidP="00581798">
            <w:pPr>
              <w:rPr>
                <w:rFonts w:ascii="SAS Monospace" w:hAnsi="SAS Monospace"/>
                <w:sz w:val="18"/>
                <w:szCs w:val="18"/>
              </w:rPr>
            </w:pPr>
          </w:p>
        </w:tc>
        <w:tc>
          <w:tcPr>
            <w:tcW w:w="1417" w:type="dxa"/>
            <w:vAlign w:val="center"/>
          </w:tcPr>
          <w:p w:rsidR="00F24D8A" w:rsidRPr="0055706F" w:rsidRDefault="00F24D8A" w:rsidP="00581798">
            <w:pPr>
              <w:rPr>
                <w:rFonts w:ascii="SAS Monospace" w:hAnsi="SAS Monospace"/>
                <w:sz w:val="18"/>
                <w:szCs w:val="18"/>
              </w:rPr>
            </w:pP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 xml:space="preserve">  Urban</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0.0817</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1.0851</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0.0012</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 xml:space="preserve">  Rural</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0.0328</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1.0334</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0.1797</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 xml:space="preserve">  Unrecorded (reference)</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w:t>
            </w:r>
          </w:p>
        </w:tc>
        <w:tc>
          <w:tcPr>
            <w:tcW w:w="1985" w:type="dxa"/>
            <w:vAlign w:val="center"/>
          </w:tcPr>
          <w:p w:rsidR="00F24D8A" w:rsidRPr="0055706F" w:rsidRDefault="00F24D8A" w:rsidP="00581798">
            <w:pPr>
              <w:rPr>
                <w:rFonts w:ascii="SAS Monospace" w:hAnsi="SAS Monospace"/>
                <w:sz w:val="18"/>
                <w:szCs w:val="18"/>
              </w:rPr>
            </w:pPr>
          </w:p>
        </w:tc>
        <w:tc>
          <w:tcPr>
            <w:tcW w:w="1417" w:type="dxa"/>
            <w:vAlign w:val="center"/>
          </w:tcPr>
          <w:p w:rsidR="00F24D8A" w:rsidRPr="0055706F" w:rsidRDefault="00F24D8A" w:rsidP="00581798">
            <w:pPr>
              <w:rPr>
                <w:rFonts w:ascii="SAS Monospace" w:hAnsi="SAS Monospace"/>
                <w:sz w:val="18"/>
                <w:szCs w:val="18"/>
              </w:rPr>
            </w:pP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Current smoking</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-0.0312</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0.9693</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0.0027</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 xml:space="preserve">Hypertension </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0.0537</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1.0552</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&lt;0.0001</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diabetes</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0.0802</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1.0835</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&lt;0.0001</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History of MI</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-0.0264</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0.9739</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0.1482</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History of PCI</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-0.0302</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0.9703</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0.3759</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History of CABG</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0.0782</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1.0813</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0.2480</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History of stroke</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0.0068</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1.0068</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0.6524</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Chronic renal disease</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0.1014</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1.1067</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0.0049</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History of cancer</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-0.0677</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0.9345</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0.2528</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Symptom onset to admission, hours</w:t>
            </w:r>
          </w:p>
        </w:tc>
        <w:tc>
          <w:tcPr>
            <w:tcW w:w="1701" w:type="dxa"/>
            <w:vAlign w:val="center"/>
          </w:tcPr>
          <w:p w:rsidR="00F24D8A" w:rsidRPr="0055706F" w:rsidRDefault="00F24D8A" w:rsidP="00581798">
            <w:pPr>
              <w:rPr>
                <w:rFonts w:ascii="SAS Monospace" w:hAnsi="SAS Monospace"/>
                <w:sz w:val="18"/>
                <w:szCs w:val="18"/>
              </w:rPr>
            </w:pPr>
          </w:p>
        </w:tc>
        <w:tc>
          <w:tcPr>
            <w:tcW w:w="1985" w:type="dxa"/>
            <w:vAlign w:val="center"/>
          </w:tcPr>
          <w:p w:rsidR="00F24D8A" w:rsidRPr="0055706F" w:rsidRDefault="00F24D8A" w:rsidP="00581798">
            <w:pPr>
              <w:rPr>
                <w:rFonts w:ascii="SAS Monospace" w:hAnsi="SAS Monospace"/>
                <w:sz w:val="18"/>
                <w:szCs w:val="18"/>
              </w:rPr>
            </w:pPr>
          </w:p>
        </w:tc>
        <w:tc>
          <w:tcPr>
            <w:tcW w:w="1417" w:type="dxa"/>
            <w:vAlign w:val="center"/>
          </w:tcPr>
          <w:p w:rsidR="00F24D8A" w:rsidRPr="0055706F" w:rsidRDefault="00F24D8A" w:rsidP="00581798">
            <w:pPr>
              <w:rPr>
                <w:rFonts w:ascii="SAS Monospace" w:hAnsi="SAS Monospace"/>
                <w:sz w:val="18"/>
                <w:szCs w:val="18"/>
              </w:rPr>
            </w:pP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 xml:space="preserve">  </w:t>
            </w:r>
            <w:r w:rsidRPr="0055706F">
              <w:rPr>
                <w:sz w:val="18"/>
                <w:szCs w:val="18"/>
              </w:rPr>
              <w:t>≤</w:t>
            </w:r>
            <w:r w:rsidRPr="0055706F">
              <w:rPr>
                <w:rFonts w:ascii="SAS Monospace" w:hAnsi="SAS Monospace"/>
                <w:sz w:val="18"/>
                <w:szCs w:val="18"/>
              </w:rPr>
              <w:t>6</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0.0605</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1.0623</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&lt;.0001</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 xml:space="preserve">  6-12</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0.0025</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1.0025</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0.8746</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 xml:space="preserve">  12-24</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0.0264</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1.0268</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0.0624</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 xml:space="preserve">  &gt;24 (reference)</w:t>
            </w:r>
          </w:p>
        </w:tc>
        <w:tc>
          <w:tcPr>
            <w:tcW w:w="1701" w:type="dxa"/>
            <w:vAlign w:val="center"/>
          </w:tcPr>
          <w:p w:rsidR="00F24D8A" w:rsidRPr="0055706F" w:rsidRDefault="00F24D8A" w:rsidP="00581798">
            <w:pPr>
              <w:rPr>
                <w:rFonts w:ascii="SAS Monospace" w:hAnsi="SAS Monospace"/>
                <w:sz w:val="18"/>
                <w:szCs w:val="18"/>
              </w:rPr>
            </w:pPr>
          </w:p>
        </w:tc>
        <w:tc>
          <w:tcPr>
            <w:tcW w:w="1985" w:type="dxa"/>
            <w:vAlign w:val="center"/>
          </w:tcPr>
          <w:p w:rsidR="00F24D8A" w:rsidRPr="0055706F" w:rsidRDefault="00F24D8A" w:rsidP="00581798">
            <w:pPr>
              <w:rPr>
                <w:rFonts w:ascii="SAS Monospace" w:hAnsi="SAS Monospace"/>
                <w:sz w:val="18"/>
                <w:szCs w:val="18"/>
              </w:rPr>
            </w:pPr>
          </w:p>
        </w:tc>
        <w:tc>
          <w:tcPr>
            <w:tcW w:w="1417" w:type="dxa"/>
            <w:vAlign w:val="center"/>
          </w:tcPr>
          <w:p w:rsidR="00F24D8A" w:rsidRPr="0055706F" w:rsidRDefault="00F24D8A" w:rsidP="00581798">
            <w:pPr>
              <w:rPr>
                <w:rFonts w:ascii="SAS Monospace" w:hAnsi="SAS Monospace"/>
                <w:sz w:val="18"/>
                <w:szCs w:val="18"/>
              </w:rPr>
            </w:pP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STEMI</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0.0509</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1.0522</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0.0002</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Chest pain at admission</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0.0462</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1.0473</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0.1537</w:t>
            </w:r>
          </w:p>
        </w:tc>
      </w:tr>
      <w:tr w:rsidR="00F24D8A" w:rsidRPr="0055706F" w:rsidTr="00581798">
        <w:tc>
          <w:tcPr>
            <w:tcW w:w="2977" w:type="dxa"/>
            <w:vAlign w:val="center"/>
          </w:tcPr>
          <w:p w:rsidR="00F24D8A" w:rsidRPr="0055706F" w:rsidRDefault="00F24D8A" w:rsidP="00581798">
            <w:pPr>
              <w:jc w:val="left"/>
              <w:rPr>
                <w:rFonts w:ascii="SAS Monospace" w:hAnsi="SAS Monospace"/>
                <w:sz w:val="18"/>
                <w:szCs w:val="18"/>
              </w:rPr>
            </w:pPr>
            <w:proofErr w:type="spellStart"/>
            <w:r w:rsidRPr="0055706F">
              <w:rPr>
                <w:rFonts w:ascii="SAS Monospace" w:hAnsi="SAS Monospace"/>
                <w:sz w:val="18"/>
                <w:szCs w:val="18"/>
              </w:rPr>
              <w:t>Cardiogenic</w:t>
            </w:r>
            <w:proofErr w:type="spellEnd"/>
            <w:r w:rsidRPr="0055706F">
              <w:rPr>
                <w:rFonts w:ascii="SAS Monospace" w:hAnsi="SAS Monospace"/>
                <w:sz w:val="18"/>
                <w:szCs w:val="18"/>
              </w:rPr>
              <w:t xml:space="preserve"> shock at </w:t>
            </w:r>
            <w:r w:rsidRPr="0055706F">
              <w:rPr>
                <w:rFonts w:ascii="SAS Monospace" w:hAnsi="SAS Monospace"/>
                <w:sz w:val="18"/>
                <w:szCs w:val="18"/>
              </w:rPr>
              <w:lastRenderedPageBreak/>
              <w:t>admission</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lastRenderedPageBreak/>
              <w:t>0.0507</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1.0520</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0.0289</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lastRenderedPageBreak/>
              <w:t>Cardiac arrest at admission</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0.0875</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1.0914</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0.0452</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Pneumonia at admission</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0.0328</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1.0334</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0.0364</w:t>
            </w:r>
          </w:p>
        </w:tc>
      </w:tr>
      <w:tr w:rsidR="00F24D8A" w:rsidRPr="0055706F" w:rsidTr="00581798">
        <w:tc>
          <w:tcPr>
            <w:tcW w:w="2977" w:type="dxa"/>
            <w:vAlign w:val="center"/>
          </w:tcPr>
          <w:p w:rsidR="00F24D8A" w:rsidRPr="0055706F" w:rsidRDefault="00F24D8A" w:rsidP="00581798">
            <w:pPr>
              <w:jc w:val="left"/>
              <w:rPr>
                <w:rFonts w:ascii="SAS Monospace" w:hAnsi="SAS Monospace"/>
                <w:sz w:val="18"/>
                <w:szCs w:val="18"/>
              </w:rPr>
            </w:pPr>
            <w:r w:rsidRPr="0055706F">
              <w:rPr>
                <w:rFonts w:ascii="SAS Monospace" w:hAnsi="SAS Monospace"/>
                <w:sz w:val="18"/>
                <w:szCs w:val="18"/>
              </w:rPr>
              <w:t>Exacerbated COPD at admission</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0.0265</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1.0269</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0.5524</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Acute stroke at admission</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0.1303</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1.1392</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0.0001</w:t>
            </w:r>
          </w:p>
        </w:tc>
      </w:tr>
      <w:tr w:rsidR="00F24D8A" w:rsidRPr="0055706F" w:rsidTr="00581798">
        <w:tc>
          <w:tcPr>
            <w:tcW w:w="2977" w:type="dxa"/>
            <w:vAlign w:val="center"/>
          </w:tcPr>
          <w:p w:rsidR="00F24D8A" w:rsidRPr="0055706F" w:rsidRDefault="00F24D8A" w:rsidP="00581798">
            <w:pPr>
              <w:jc w:val="left"/>
              <w:rPr>
                <w:rFonts w:ascii="SAS Monospace" w:hAnsi="SAS Monospace"/>
                <w:sz w:val="18"/>
                <w:szCs w:val="18"/>
              </w:rPr>
            </w:pPr>
            <w:proofErr w:type="spellStart"/>
            <w:r w:rsidRPr="0055706F">
              <w:rPr>
                <w:rFonts w:ascii="SAS Monospace" w:hAnsi="SAS Monospace"/>
                <w:sz w:val="18"/>
                <w:szCs w:val="18"/>
              </w:rPr>
              <w:t>eGFR</w:t>
            </w:r>
            <w:proofErr w:type="spellEnd"/>
            <w:r w:rsidRPr="0055706F">
              <w:rPr>
                <w:rFonts w:ascii="SAS Monospace" w:hAnsi="SAS Monospace"/>
                <w:sz w:val="18"/>
                <w:szCs w:val="18"/>
              </w:rPr>
              <w:t xml:space="preserve">  at admission, ml/(min*1.73m2)</w:t>
            </w:r>
          </w:p>
        </w:tc>
        <w:tc>
          <w:tcPr>
            <w:tcW w:w="1701" w:type="dxa"/>
            <w:vAlign w:val="center"/>
          </w:tcPr>
          <w:p w:rsidR="00F24D8A" w:rsidRPr="0055706F" w:rsidRDefault="00F24D8A" w:rsidP="00581798">
            <w:pPr>
              <w:rPr>
                <w:rFonts w:ascii="SAS Monospace" w:hAnsi="SAS Monospace"/>
                <w:sz w:val="18"/>
                <w:szCs w:val="18"/>
              </w:rPr>
            </w:pPr>
          </w:p>
        </w:tc>
        <w:tc>
          <w:tcPr>
            <w:tcW w:w="1985" w:type="dxa"/>
            <w:vAlign w:val="center"/>
          </w:tcPr>
          <w:p w:rsidR="00F24D8A" w:rsidRPr="0055706F" w:rsidRDefault="00F24D8A" w:rsidP="00581798">
            <w:pPr>
              <w:rPr>
                <w:rFonts w:ascii="SAS Monospace" w:hAnsi="SAS Monospace"/>
                <w:sz w:val="18"/>
                <w:szCs w:val="18"/>
              </w:rPr>
            </w:pPr>
          </w:p>
        </w:tc>
        <w:tc>
          <w:tcPr>
            <w:tcW w:w="1417" w:type="dxa"/>
            <w:vAlign w:val="center"/>
          </w:tcPr>
          <w:p w:rsidR="00F24D8A" w:rsidRPr="0055706F" w:rsidRDefault="00F24D8A" w:rsidP="00581798">
            <w:pPr>
              <w:rPr>
                <w:rFonts w:ascii="SAS Monospace" w:hAnsi="SAS Monospace"/>
                <w:sz w:val="18"/>
                <w:szCs w:val="18"/>
              </w:rPr>
            </w:pP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 xml:space="preserve">  &gt;90</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0.0646</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1.0668</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0.0001</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 xml:space="preserve">  60-90</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0.0714</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1.0740</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&lt;.0001</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 xml:space="preserve">  &lt;60</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0.0099</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1.0099</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0.7962</w:t>
            </w:r>
          </w:p>
        </w:tc>
      </w:tr>
      <w:tr w:rsidR="00F24D8A" w:rsidRPr="0055706F" w:rsidTr="00581798">
        <w:tc>
          <w:tcPr>
            <w:tcW w:w="297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 xml:space="preserve">  Unknown (reference)</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w:t>
            </w:r>
          </w:p>
        </w:tc>
        <w:tc>
          <w:tcPr>
            <w:tcW w:w="1985" w:type="dxa"/>
            <w:vAlign w:val="center"/>
          </w:tcPr>
          <w:p w:rsidR="00F24D8A" w:rsidRPr="0055706F" w:rsidRDefault="00F24D8A" w:rsidP="00581798">
            <w:pPr>
              <w:rPr>
                <w:rFonts w:ascii="SAS Monospace" w:hAnsi="SAS Monospace"/>
                <w:sz w:val="18"/>
                <w:szCs w:val="18"/>
              </w:rPr>
            </w:pPr>
          </w:p>
        </w:tc>
        <w:tc>
          <w:tcPr>
            <w:tcW w:w="1417" w:type="dxa"/>
            <w:vAlign w:val="center"/>
          </w:tcPr>
          <w:p w:rsidR="00F24D8A" w:rsidRPr="0055706F" w:rsidRDefault="00F24D8A" w:rsidP="00581798">
            <w:pPr>
              <w:rPr>
                <w:rFonts w:ascii="SAS Monospace" w:hAnsi="SAS Monospace"/>
                <w:sz w:val="18"/>
                <w:szCs w:val="18"/>
              </w:rPr>
            </w:pPr>
          </w:p>
        </w:tc>
      </w:tr>
      <w:tr w:rsidR="00F24D8A" w:rsidRPr="0055706F" w:rsidTr="00581798">
        <w:tc>
          <w:tcPr>
            <w:tcW w:w="2977" w:type="dxa"/>
            <w:vAlign w:val="center"/>
          </w:tcPr>
          <w:p w:rsidR="00F24D8A" w:rsidRPr="0055706F" w:rsidRDefault="00F24D8A" w:rsidP="00581798">
            <w:pPr>
              <w:jc w:val="left"/>
              <w:rPr>
                <w:rFonts w:ascii="SAS Monospace" w:hAnsi="SAS Monospace"/>
                <w:sz w:val="18"/>
                <w:szCs w:val="18"/>
              </w:rPr>
            </w:pPr>
            <w:r>
              <w:rPr>
                <w:rFonts w:ascii="SAS Monospace" w:hAnsi="SAS Monospace"/>
                <w:sz w:val="18"/>
                <w:szCs w:val="18"/>
              </w:rPr>
              <w:t>S</w:t>
            </w:r>
            <w:r>
              <w:rPr>
                <w:rFonts w:ascii="SAS Monospace" w:hAnsi="SAS Monospace" w:hint="eastAsia"/>
                <w:sz w:val="18"/>
                <w:szCs w:val="18"/>
              </w:rPr>
              <w:t>BP</w:t>
            </w:r>
            <w:r>
              <w:rPr>
                <w:rFonts w:ascii="SAS Monospace" w:hAnsi="SAS Monospace"/>
                <w:sz w:val="18"/>
                <w:szCs w:val="18"/>
              </w:rPr>
              <w:t xml:space="preserve"> &gt;180 mmHg or </w:t>
            </w:r>
            <w:r>
              <w:rPr>
                <w:rFonts w:ascii="SAS Monospace" w:hAnsi="SAS Monospace" w:hint="eastAsia"/>
                <w:sz w:val="18"/>
                <w:szCs w:val="18"/>
              </w:rPr>
              <w:t>DBP</w:t>
            </w:r>
            <w:r>
              <w:rPr>
                <w:rFonts w:ascii="SAS Monospace" w:hAnsi="SAS Monospace"/>
                <w:sz w:val="18"/>
                <w:szCs w:val="18"/>
              </w:rPr>
              <w:t xml:space="preserve"> &gt;</w:t>
            </w:r>
            <w:r w:rsidRPr="0055706F">
              <w:rPr>
                <w:rFonts w:ascii="SAS Monospace" w:hAnsi="SAS Monospace"/>
                <w:sz w:val="18"/>
                <w:szCs w:val="18"/>
              </w:rPr>
              <w:t>110 mmHg at admission</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-0.0359</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0.9647</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0.0791</w:t>
            </w:r>
          </w:p>
        </w:tc>
      </w:tr>
      <w:tr w:rsidR="00F24D8A" w:rsidRPr="0055706F" w:rsidTr="00581798">
        <w:tc>
          <w:tcPr>
            <w:tcW w:w="2977" w:type="dxa"/>
            <w:vAlign w:val="center"/>
          </w:tcPr>
          <w:p w:rsidR="00F24D8A" w:rsidRPr="0055706F" w:rsidRDefault="00F24D8A" w:rsidP="00581798">
            <w:pPr>
              <w:jc w:val="left"/>
              <w:rPr>
                <w:rFonts w:ascii="SAS Monospace" w:hAnsi="SAS Monospace"/>
                <w:sz w:val="18"/>
                <w:szCs w:val="18"/>
              </w:rPr>
            </w:pPr>
            <w:r w:rsidRPr="0055706F">
              <w:rPr>
                <w:rFonts w:ascii="SAS Monospace" w:hAnsi="SAS Monospace"/>
                <w:sz w:val="18"/>
                <w:szCs w:val="18"/>
              </w:rPr>
              <w:t>Heart rate</w:t>
            </w:r>
            <w:r>
              <w:rPr>
                <w:rFonts w:ascii="SAS Monospace" w:hAnsi="SAS Monospace" w:hint="eastAsia"/>
                <w:sz w:val="18"/>
                <w:szCs w:val="18"/>
              </w:rPr>
              <w:t xml:space="preserve"> </w:t>
            </w:r>
            <w:r w:rsidRPr="0055706F">
              <w:rPr>
                <w:rFonts w:ascii="SAS Monospace" w:hAnsi="SAS Monospace"/>
                <w:sz w:val="18"/>
                <w:szCs w:val="18"/>
              </w:rPr>
              <w:t>&gt;100 beats/min at admission</w:t>
            </w:r>
          </w:p>
        </w:tc>
        <w:tc>
          <w:tcPr>
            <w:tcW w:w="1701"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0.0250</w:t>
            </w:r>
          </w:p>
        </w:tc>
        <w:tc>
          <w:tcPr>
            <w:tcW w:w="1985"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1.0253</w:t>
            </w:r>
          </w:p>
        </w:tc>
        <w:tc>
          <w:tcPr>
            <w:tcW w:w="1417" w:type="dxa"/>
            <w:vAlign w:val="center"/>
          </w:tcPr>
          <w:p w:rsidR="00F24D8A" w:rsidRPr="0055706F" w:rsidRDefault="00F24D8A" w:rsidP="00581798">
            <w:pPr>
              <w:rPr>
                <w:rFonts w:ascii="SAS Monospace" w:hAnsi="SAS Monospace"/>
                <w:sz w:val="18"/>
                <w:szCs w:val="18"/>
              </w:rPr>
            </w:pPr>
            <w:r w:rsidRPr="0055706F">
              <w:rPr>
                <w:rFonts w:ascii="SAS Monospace" w:hAnsi="SAS Monospace"/>
                <w:sz w:val="18"/>
                <w:szCs w:val="18"/>
              </w:rPr>
              <w:t>0.0811</w:t>
            </w:r>
          </w:p>
        </w:tc>
      </w:tr>
    </w:tbl>
    <w:p w:rsidR="00F24D8A" w:rsidRPr="00DE5929" w:rsidRDefault="00F24D8A" w:rsidP="00F24D8A">
      <w:pPr>
        <w:rPr>
          <w:rFonts w:cs="Times New Roman"/>
          <w:szCs w:val="21"/>
        </w:rPr>
      </w:pPr>
      <w:r w:rsidRPr="00DE5929">
        <w:rPr>
          <w:szCs w:val="21"/>
        </w:rPr>
        <w:t xml:space="preserve">MI: </w:t>
      </w:r>
      <w:r w:rsidRPr="00DE5929">
        <w:rPr>
          <w:rFonts w:cs="Times New Roman"/>
          <w:szCs w:val="21"/>
        </w:rPr>
        <w:t>myocardial infarction</w:t>
      </w:r>
      <w:r w:rsidRPr="00DE5929">
        <w:rPr>
          <w:rFonts w:cs="Times New Roman"/>
          <w:szCs w:val="21"/>
        </w:rPr>
        <w:t>;</w:t>
      </w:r>
      <w:r w:rsidRPr="00DE5929">
        <w:rPr>
          <w:rFonts w:hint="eastAsia"/>
          <w:szCs w:val="21"/>
        </w:rPr>
        <w:t xml:space="preserve"> </w:t>
      </w:r>
      <w:r w:rsidRPr="00DE5929">
        <w:rPr>
          <w:szCs w:val="21"/>
        </w:rPr>
        <w:t xml:space="preserve">PCI: </w:t>
      </w:r>
      <w:proofErr w:type="spellStart"/>
      <w:r w:rsidRPr="00DE5929">
        <w:rPr>
          <w:rStyle w:val="ft"/>
          <w:rFonts w:cs="Times New Roman"/>
          <w:szCs w:val="21"/>
        </w:rPr>
        <w:t>percutaneous</w:t>
      </w:r>
      <w:proofErr w:type="spellEnd"/>
      <w:r w:rsidRPr="00DE5929">
        <w:rPr>
          <w:rStyle w:val="ft"/>
          <w:rFonts w:cs="Times New Roman"/>
          <w:szCs w:val="21"/>
        </w:rPr>
        <w:t xml:space="preserve"> coronary intervention</w:t>
      </w:r>
      <w:r w:rsidRPr="00DE5929">
        <w:rPr>
          <w:rStyle w:val="ft"/>
          <w:rFonts w:cs="Times New Roman"/>
          <w:szCs w:val="21"/>
        </w:rPr>
        <w:t>;</w:t>
      </w:r>
      <w:r w:rsidRPr="00DE5929">
        <w:rPr>
          <w:rFonts w:hint="eastAsia"/>
          <w:szCs w:val="21"/>
        </w:rPr>
        <w:t xml:space="preserve"> </w:t>
      </w:r>
      <w:r w:rsidRPr="00DE5929">
        <w:rPr>
          <w:szCs w:val="21"/>
        </w:rPr>
        <w:t xml:space="preserve">CABG: </w:t>
      </w:r>
      <w:r w:rsidRPr="00DE5929">
        <w:rPr>
          <w:rStyle w:val="a4"/>
          <w:rFonts w:cs="Times New Roman"/>
          <w:color w:val="auto"/>
          <w:szCs w:val="21"/>
        </w:rPr>
        <w:t>coronary artery bypass graft</w:t>
      </w:r>
      <w:r w:rsidRPr="00DE5929">
        <w:rPr>
          <w:rStyle w:val="a4"/>
          <w:rFonts w:cs="Times New Roman"/>
          <w:color w:val="auto"/>
          <w:szCs w:val="21"/>
        </w:rPr>
        <w:t>;</w:t>
      </w:r>
      <w:r w:rsidRPr="00DE5929">
        <w:rPr>
          <w:rFonts w:hint="eastAsia"/>
          <w:szCs w:val="21"/>
        </w:rPr>
        <w:t xml:space="preserve"> </w:t>
      </w:r>
      <w:r w:rsidRPr="00DE5929">
        <w:rPr>
          <w:szCs w:val="21"/>
        </w:rPr>
        <w:t xml:space="preserve">STEMI: </w:t>
      </w:r>
      <w:r w:rsidRPr="00DE5929">
        <w:rPr>
          <w:rStyle w:val="st1"/>
          <w:rFonts w:cs="Times New Roman"/>
          <w:szCs w:val="21"/>
        </w:rPr>
        <w:t>ST-segment elevation myocardial infarction</w:t>
      </w:r>
      <w:r w:rsidRPr="00DE5929">
        <w:rPr>
          <w:rStyle w:val="st1"/>
          <w:rFonts w:cs="Times New Roman"/>
          <w:szCs w:val="21"/>
        </w:rPr>
        <w:t>;</w:t>
      </w:r>
      <w:r w:rsidRPr="00DE5929">
        <w:rPr>
          <w:rFonts w:hint="eastAsia"/>
          <w:szCs w:val="21"/>
        </w:rPr>
        <w:t xml:space="preserve"> </w:t>
      </w:r>
      <w:r w:rsidRPr="00DE5929">
        <w:rPr>
          <w:szCs w:val="21"/>
        </w:rPr>
        <w:t xml:space="preserve">COPD: </w:t>
      </w:r>
      <w:r w:rsidRPr="00DE5929">
        <w:rPr>
          <w:rStyle w:val="ft"/>
          <w:rFonts w:cs="Times New Roman"/>
          <w:szCs w:val="21"/>
        </w:rPr>
        <w:t>chronic obstructive pulmonary disease</w:t>
      </w:r>
      <w:r w:rsidRPr="00DE5929">
        <w:rPr>
          <w:rStyle w:val="ft"/>
          <w:rFonts w:cs="Times New Roman"/>
          <w:szCs w:val="21"/>
        </w:rPr>
        <w:t>;</w:t>
      </w:r>
      <w:r w:rsidRPr="00DE5929">
        <w:rPr>
          <w:rFonts w:hint="eastAsia"/>
          <w:szCs w:val="21"/>
        </w:rPr>
        <w:t xml:space="preserve"> </w:t>
      </w:r>
      <w:proofErr w:type="spellStart"/>
      <w:r w:rsidRPr="00DE5929">
        <w:rPr>
          <w:szCs w:val="21"/>
        </w:rPr>
        <w:t>eGFR</w:t>
      </w:r>
      <w:proofErr w:type="spellEnd"/>
      <w:r w:rsidRPr="00DE5929">
        <w:rPr>
          <w:szCs w:val="21"/>
        </w:rPr>
        <w:t xml:space="preserve">: </w:t>
      </w:r>
      <w:r w:rsidRPr="00DE5929">
        <w:rPr>
          <w:rStyle w:val="ft"/>
          <w:rFonts w:cs="Times New Roman"/>
          <w:szCs w:val="21"/>
        </w:rPr>
        <w:t xml:space="preserve">estimated </w:t>
      </w:r>
      <w:proofErr w:type="spellStart"/>
      <w:r w:rsidRPr="00DE5929">
        <w:rPr>
          <w:rStyle w:val="a4"/>
          <w:rFonts w:cs="Times New Roman"/>
          <w:color w:val="auto"/>
          <w:szCs w:val="21"/>
        </w:rPr>
        <w:t>g</w:t>
      </w:r>
      <w:r w:rsidRPr="00DE5929">
        <w:rPr>
          <w:rStyle w:val="ft"/>
          <w:rFonts w:cs="Times New Roman"/>
          <w:szCs w:val="21"/>
        </w:rPr>
        <w:t>lomerular</w:t>
      </w:r>
      <w:proofErr w:type="spellEnd"/>
      <w:r w:rsidRPr="00DE5929">
        <w:rPr>
          <w:rStyle w:val="ft"/>
          <w:rFonts w:cs="Times New Roman"/>
          <w:szCs w:val="21"/>
        </w:rPr>
        <w:t xml:space="preserve"> filtration rate</w:t>
      </w:r>
      <w:r w:rsidRPr="00DE5929">
        <w:rPr>
          <w:rStyle w:val="ft"/>
          <w:rFonts w:cs="Times New Roman"/>
          <w:szCs w:val="21"/>
        </w:rPr>
        <w:t>;</w:t>
      </w:r>
      <w:r w:rsidRPr="00DE5929">
        <w:rPr>
          <w:rStyle w:val="ft"/>
          <w:rFonts w:cs="Times New Roman" w:hint="eastAsia"/>
          <w:szCs w:val="21"/>
        </w:rPr>
        <w:t xml:space="preserve"> </w:t>
      </w:r>
      <w:r w:rsidRPr="00DE5929">
        <w:rPr>
          <w:szCs w:val="21"/>
        </w:rPr>
        <w:t>SBP: systolic blood pressure;</w:t>
      </w:r>
      <w:r w:rsidRPr="00DE5929">
        <w:rPr>
          <w:rFonts w:hint="eastAsia"/>
          <w:szCs w:val="21"/>
        </w:rPr>
        <w:t xml:space="preserve"> </w:t>
      </w:r>
      <w:r w:rsidRPr="00DE5929">
        <w:rPr>
          <w:szCs w:val="21"/>
        </w:rPr>
        <w:t>DBP: diastolic blood pressure.</w:t>
      </w:r>
    </w:p>
    <w:p w:rsidR="00F24D8A" w:rsidRPr="00DE5929" w:rsidRDefault="00F24D8A" w:rsidP="00F24D8A">
      <w:pPr>
        <w:rPr>
          <w:sz w:val="24"/>
          <w:szCs w:val="24"/>
        </w:rPr>
      </w:pPr>
    </w:p>
    <w:p w:rsidR="00F24D8A" w:rsidRPr="00DE5929" w:rsidRDefault="00F24D8A" w:rsidP="00F24D8A">
      <w:pPr>
        <w:spacing w:beforeLines="100"/>
        <w:rPr>
          <w:sz w:val="24"/>
          <w:szCs w:val="24"/>
        </w:rPr>
      </w:pPr>
      <w:r w:rsidRPr="00DE5929">
        <w:rPr>
          <w:rFonts w:hint="eastAsia"/>
          <w:sz w:val="24"/>
          <w:szCs w:val="24"/>
        </w:rPr>
        <w:t xml:space="preserve">The </w:t>
      </w:r>
      <w:r w:rsidRPr="00DE5929">
        <w:rPr>
          <w:sz w:val="24"/>
          <w:szCs w:val="24"/>
        </w:rPr>
        <w:t>residual</w:t>
      </w:r>
      <w:r w:rsidRPr="00DE5929">
        <w:rPr>
          <w:rFonts w:hint="eastAsia"/>
          <w:sz w:val="24"/>
          <w:szCs w:val="24"/>
        </w:rPr>
        <w:t xml:space="preserve"> plot of the risk-standardization model </w:t>
      </w:r>
      <w:r w:rsidRPr="00DE5929">
        <w:rPr>
          <w:sz w:val="24"/>
          <w:szCs w:val="24"/>
        </w:rPr>
        <w:t>is as follows, which shows that the residuals are approximately evenly scattered above and below 0 without a particular pattern.</w:t>
      </w:r>
    </w:p>
    <w:p w:rsidR="00F24D8A" w:rsidRDefault="00F24D8A" w:rsidP="00F24D8A">
      <w:pPr>
        <w:rPr>
          <w:szCs w:val="21"/>
        </w:rPr>
      </w:pPr>
      <w:r>
        <w:rPr>
          <w:noProof/>
          <w:szCs w:val="21"/>
        </w:rPr>
        <w:drawing>
          <wp:inline distT="0" distB="0" distL="0" distR="0">
            <wp:extent cx="5279390" cy="193230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279390" cy="1932305"/>
                    </a:xfrm>
                    <a:prstGeom prst="rect">
                      <a:avLst/>
                    </a:prstGeom>
                    <a:noFill/>
                  </pic:spPr>
                </pic:pic>
              </a:graphicData>
            </a:graphic>
          </wp:inline>
        </w:drawing>
      </w:r>
    </w:p>
    <w:p w:rsidR="00F24D8A" w:rsidRDefault="00F24D8A" w:rsidP="00F24D8A">
      <w:pPr>
        <w:rPr>
          <w:rFonts w:hint="eastAsia"/>
          <w:szCs w:val="21"/>
        </w:rPr>
      </w:pPr>
    </w:p>
    <w:p w:rsidR="007042EF" w:rsidRDefault="007042EF"/>
    <w:sectPr w:rsidR="007042EF" w:rsidSect="007042EF">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SAS Monospace">
    <w:altName w:val="Consolas"/>
    <w:panose1 w:val="020B0609020202020204"/>
    <w:charset w:val="00"/>
    <w:family w:val="modern"/>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F24D8A"/>
    <w:rsid w:val="007042EF"/>
    <w:rsid w:val="00F24D8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4D8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24D8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t">
    <w:name w:val="ft"/>
    <w:basedOn w:val="a0"/>
    <w:rsid w:val="00F24D8A"/>
  </w:style>
  <w:style w:type="character" w:styleId="a4">
    <w:name w:val="Emphasis"/>
    <w:basedOn w:val="a0"/>
    <w:uiPriority w:val="20"/>
    <w:qFormat/>
    <w:rsid w:val="00F24D8A"/>
    <w:rPr>
      <w:b w:val="0"/>
      <w:bCs w:val="0"/>
      <w:i w:val="0"/>
      <w:iCs w:val="0"/>
      <w:color w:val="DD4B39"/>
    </w:rPr>
  </w:style>
  <w:style w:type="character" w:customStyle="1" w:styleId="st1">
    <w:name w:val="st1"/>
    <w:basedOn w:val="a0"/>
    <w:rsid w:val="00F24D8A"/>
  </w:style>
  <w:style w:type="paragraph" w:styleId="a5">
    <w:name w:val="Balloon Text"/>
    <w:basedOn w:val="a"/>
    <w:link w:val="Char"/>
    <w:uiPriority w:val="99"/>
    <w:semiHidden/>
    <w:unhideWhenUsed/>
    <w:rsid w:val="00F24D8A"/>
    <w:rPr>
      <w:sz w:val="18"/>
      <w:szCs w:val="18"/>
    </w:rPr>
  </w:style>
  <w:style w:type="character" w:customStyle="1" w:styleId="Char">
    <w:name w:val="批注框文本 Char"/>
    <w:basedOn w:val="a0"/>
    <w:link w:val="a5"/>
    <w:uiPriority w:val="99"/>
    <w:semiHidden/>
    <w:rsid w:val="00F24D8A"/>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2</Pages>
  <Words>395</Words>
  <Characters>2254</Characters>
  <Application>Microsoft Office Word</Application>
  <DocSecurity>0</DocSecurity>
  <Lines>18</Lines>
  <Paragraphs>5</Paragraphs>
  <ScaleCrop>false</ScaleCrop>
  <Company/>
  <LinksUpToDate>false</LinksUpToDate>
  <CharactersWithSpaces>2644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qian.li</dc:creator>
  <cp:lastModifiedBy>qian.li</cp:lastModifiedBy>
  <cp:revision>1</cp:revision>
  <dcterms:created xsi:type="dcterms:W3CDTF">2014-11-25T16:57:00Z</dcterms:created>
  <dcterms:modified xsi:type="dcterms:W3CDTF">2014-11-25T17:19:00Z</dcterms:modified>
</cp:coreProperties>
</file>