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750" w:type="dxa"/>
        <w:tblCellSpacing w:w="15" w:type="dxa"/>
        <w:shd w:val="clear" w:color="auto" w:fill="666666"/>
        <w:tblCellMar>
          <w:left w:w="0" w:type="dxa"/>
          <w:right w:w="0" w:type="dxa"/>
        </w:tblCellMar>
        <w:tblLook w:val="04A0" w:firstRow="1" w:lastRow="0" w:firstColumn="1" w:lastColumn="0" w:noHBand="0" w:noVBand="1"/>
      </w:tblPr>
      <w:tblGrid>
        <w:gridCol w:w="9705"/>
        <w:gridCol w:w="45"/>
      </w:tblGrid>
      <w:tr w:rsidR="00024ABB" w:rsidTr="00024ABB">
        <w:trPr>
          <w:gridAfter w:val="1"/>
          <w:tblCellSpacing w:w="15" w:type="dxa"/>
        </w:trPr>
        <w:tc>
          <w:tcPr>
            <w:tcW w:w="0" w:type="auto"/>
            <w:shd w:val="clear" w:color="auto" w:fill="666666"/>
            <w:tcMar>
              <w:top w:w="15" w:type="dxa"/>
              <w:left w:w="15" w:type="dxa"/>
              <w:bottom w:w="15" w:type="dxa"/>
              <w:right w:w="15" w:type="dxa"/>
            </w:tcMar>
            <w:vAlign w:val="center"/>
            <w:hideMark/>
          </w:tcPr>
          <w:p w:rsidR="00024ABB" w:rsidRDefault="00024ABB">
            <w:r>
              <w:rPr>
                <w:noProof/>
              </w:rPr>
              <w:drawing>
                <wp:anchor distT="0" distB="0" distL="0" distR="0" simplePos="0" relativeHeight="251659264" behindDoc="0" locked="0" layoutInCell="1" allowOverlap="0">
                  <wp:simplePos x="0" y="0"/>
                  <wp:positionH relativeFrom="column">
                    <wp:align>right</wp:align>
                  </wp:positionH>
                  <wp:positionV relativeFrom="line">
                    <wp:posOffset>0</wp:posOffset>
                  </wp:positionV>
                  <wp:extent cx="1905000" cy="523875"/>
                  <wp:effectExtent l="0" t="0" r="0" b="9525"/>
                  <wp:wrapSquare wrapText="bothSides"/>
                  <wp:docPr id="9" name="Picture 9" descr="http://www.mizzou.com/s/1002/images/editor/vet_med/cvm_logo_gold.png">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izzou.com/s/1002/images/editor/vet_med/cvm_logo_gold.png">
                            <a:hlinkClick r:id="rId4"/>
                          </pic:cNvPr>
                          <pic:cNvPicPr>
                            <a:picLocks noChangeAspect="1" noChangeArrowheads="1"/>
                          </pic:cNvPicPr>
                        </pic:nvPicPr>
                        <pic:blipFill>
                          <a:blip r:link="rId5">
                            <a:extLst>
                              <a:ext uri="{28A0092B-C50C-407E-A947-70E740481C1C}">
                                <a14:useLocalDpi xmlns:a14="http://schemas.microsoft.com/office/drawing/2010/main" val="0"/>
                              </a:ext>
                            </a:extLst>
                          </a:blip>
                          <a:srcRect/>
                          <a:stretch>
                            <a:fillRect/>
                          </a:stretch>
                        </pic:blipFill>
                        <pic:spPr bwMode="auto">
                          <a:xfrm>
                            <a:off x="0" y="0"/>
                            <a:ext cx="1905000" cy="523875"/>
                          </a:xfrm>
                          <a:prstGeom prst="rect">
                            <a:avLst/>
                          </a:prstGeom>
                          <a:noFill/>
                        </pic:spPr>
                      </pic:pic>
                    </a:graphicData>
                  </a:graphic>
                  <wp14:sizeRelH relativeFrom="page">
                    <wp14:pctWidth>0</wp14:pctWidth>
                  </wp14:sizeRelH>
                  <wp14:sizeRelV relativeFrom="page">
                    <wp14:pctHeight>0</wp14:pctHeight>
                  </wp14:sizeRelV>
                </wp:anchor>
              </w:drawing>
            </w:r>
          </w:p>
        </w:tc>
      </w:tr>
      <w:tr w:rsidR="00024ABB" w:rsidTr="00024ABB">
        <w:trPr>
          <w:tblCellSpacing w:w="15" w:type="dxa"/>
        </w:trPr>
        <w:tc>
          <w:tcPr>
            <w:tcW w:w="0" w:type="auto"/>
            <w:gridSpan w:val="2"/>
            <w:shd w:val="clear" w:color="auto" w:fill="666666"/>
            <w:tcMar>
              <w:top w:w="15" w:type="dxa"/>
              <w:left w:w="15" w:type="dxa"/>
              <w:bottom w:w="15" w:type="dxa"/>
              <w:right w:w="15" w:type="dxa"/>
            </w:tcMar>
            <w:vAlign w:val="center"/>
            <w:hideMark/>
          </w:tcPr>
          <w:tbl>
            <w:tblPr>
              <w:tblW w:w="9255" w:type="dxa"/>
              <w:jc w:val="center"/>
              <w:tblCellSpacing w:w="15" w:type="dxa"/>
              <w:shd w:val="clear" w:color="auto" w:fill="EAEABD"/>
              <w:tblCellMar>
                <w:left w:w="0" w:type="dxa"/>
                <w:right w:w="0" w:type="dxa"/>
              </w:tblCellMar>
              <w:tblLook w:val="04A0" w:firstRow="1" w:lastRow="0" w:firstColumn="1" w:lastColumn="0" w:noHBand="0" w:noVBand="1"/>
            </w:tblPr>
            <w:tblGrid>
              <w:gridCol w:w="5983"/>
              <w:gridCol w:w="86"/>
              <w:gridCol w:w="3180"/>
              <w:gridCol w:w="81"/>
            </w:tblGrid>
            <w:tr w:rsidR="00024ABB">
              <w:trPr>
                <w:tblCellSpacing w:w="15" w:type="dxa"/>
                <w:jc w:val="center"/>
              </w:trPr>
              <w:tc>
                <w:tcPr>
                  <w:tcW w:w="0" w:type="auto"/>
                  <w:gridSpan w:val="4"/>
                  <w:shd w:val="clear" w:color="auto" w:fill="EAEABD"/>
                  <w:tcMar>
                    <w:top w:w="15" w:type="dxa"/>
                    <w:left w:w="15" w:type="dxa"/>
                    <w:bottom w:w="15" w:type="dxa"/>
                    <w:right w:w="15" w:type="dxa"/>
                  </w:tcMar>
                  <w:vAlign w:val="center"/>
                  <w:hideMark/>
                </w:tcPr>
                <w:p w:rsidR="00024ABB" w:rsidRDefault="00024ABB">
                  <w:r>
                    <w:rPr>
                      <w:noProof/>
                    </w:rPr>
                    <w:drawing>
                      <wp:inline distT="0" distB="0" distL="0" distR="0">
                        <wp:extent cx="5867400" cy="3187700"/>
                        <wp:effectExtent l="0" t="0" r="0" b="0"/>
                        <wp:docPr id="8" name="Picture 8" descr="http://www.mizzou.com/s/1002/images/editor/vet_med/april-bann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izzou.com/s/1002/images/editor/vet_med/april-banner.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867400" cy="3187700"/>
                                </a:xfrm>
                                <a:prstGeom prst="rect">
                                  <a:avLst/>
                                </a:prstGeom>
                                <a:noFill/>
                                <a:ln>
                                  <a:noFill/>
                                </a:ln>
                              </pic:spPr>
                            </pic:pic>
                          </a:graphicData>
                        </a:graphic>
                      </wp:inline>
                    </w:drawing>
                  </w:r>
                </w:p>
              </w:tc>
            </w:tr>
            <w:tr w:rsidR="00024ABB">
              <w:trPr>
                <w:tblCellSpacing w:w="15" w:type="dxa"/>
                <w:jc w:val="center"/>
              </w:trPr>
              <w:tc>
                <w:tcPr>
                  <w:tcW w:w="5940" w:type="dxa"/>
                  <w:shd w:val="clear" w:color="auto" w:fill="EAEABD"/>
                  <w:tcMar>
                    <w:top w:w="15" w:type="dxa"/>
                    <w:left w:w="15" w:type="dxa"/>
                    <w:bottom w:w="15" w:type="dxa"/>
                    <w:right w:w="15" w:type="dxa"/>
                  </w:tcMar>
                  <w:hideMark/>
                </w:tcPr>
                <w:tbl>
                  <w:tblPr>
                    <w:tblW w:w="5895" w:type="dxa"/>
                    <w:tblCellSpacing w:w="15" w:type="dxa"/>
                    <w:tblCellMar>
                      <w:left w:w="0" w:type="dxa"/>
                      <w:right w:w="0" w:type="dxa"/>
                    </w:tblCellMar>
                    <w:tblLook w:val="04A0" w:firstRow="1" w:lastRow="0" w:firstColumn="1" w:lastColumn="0" w:noHBand="0" w:noVBand="1"/>
                  </w:tblPr>
                  <w:tblGrid>
                    <w:gridCol w:w="5694"/>
                    <w:gridCol w:w="201"/>
                  </w:tblGrid>
                  <w:tr w:rsidR="00024ABB">
                    <w:trPr>
                      <w:tblCellSpacing w:w="15" w:type="dxa"/>
                    </w:trPr>
                    <w:tc>
                      <w:tcPr>
                        <w:tcW w:w="5685" w:type="dxa"/>
                        <w:gridSpan w:val="2"/>
                        <w:tcMar>
                          <w:top w:w="75" w:type="dxa"/>
                          <w:left w:w="75" w:type="dxa"/>
                          <w:bottom w:w="75" w:type="dxa"/>
                          <w:right w:w="75" w:type="dxa"/>
                        </w:tcMar>
                        <w:hideMark/>
                      </w:tcPr>
                      <w:p w:rsidR="00024ABB" w:rsidRDefault="00024ABB">
                        <w:pPr>
                          <w:pStyle w:val="Heading3"/>
                          <w:rPr>
                            <w:rFonts w:ascii="Verdana" w:eastAsia="Times New Roman" w:hAnsi="Verdana"/>
                            <w:color w:val="000000"/>
                          </w:rPr>
                        </w:pPr>
                        <w:r>
                          <w:rPr>
                            <w:rFonts w:ascii="Verdana" w:eastAsia="Times New Roman" w:hAnsi="Verdana"/>
                            <w:color w:val="000000"/>
                          </w:rPr>
                          <w:t>St. Louis Couple Gives $2.5 Million to Fund CVM Scholarships</w:t>
                        </w:r>
                      </w:p>
                    </w:tc>
                  </w:tr>
                  <w:tr w:rsidR="00024ABB">
                    <w:trPr>
                      <w:tblCellSpacing w:w="15" w:type="dxa"/>
                    </w:trPr>
                    <w:tc>
                      <w:tcPr>
                        <w:tcW w:w="0" w:type="auto"/>
                        <w:gridSpan w:val="2"/>
                        <w:tcMar>
                          <w:top w:w="75" w:type="dxa"/>
                          <w:left w:w="75" w:type="dxa"/>
                          <w:bottom w:w="75" w:type="dxa"/>
                          <w:right w:w="75" w:type="dxa"/>
                        </w:tcMar>
                        <w:hideMark/>
                      </w:tcPr>
                      <w:p w:rsidR="00024ABB" w:rsidRDefault="00024ABB">
                        <w:pPr>
                          <w:pStyle w:val="NormalWeb"/>
                          <w:rPr>
                            <w:rFonts w:ascii="Verdana" w:hAnsi="Verdana"/>
                            <w:color w:val="000000"/>
                            <w:sz w:val="20"/>
                            <w:szCs w:val="20"/>
                          </w:rPr>
                        </w:pPr>
                        <w:r>
                          <w:rPr>
                            <w:rFonts w:ascii="Verdana" w:hAnsi="Verdana"/>
                            <w:noProof/>
                            <w:color w:val="0000FF"/>
                            <w:sz w:val="20"/>
                            <w:szCs w:val="20"/>
                          </w:rPr>
                          <w:drawing>
                            <wp:inline distT="0" distB="0" distL="0" distR="0">
                              <wp:extent cx="3600450" cy="2463800"/>
                              <wp:effectExtent l="0" t="0" r="0" b="0"/>
                              <wp:docPr id="7" name="Picture 7" descr="http://www.mizzou.com/s/1002/images/editor/vet_med/2014_03_newsletter/gift.jpg">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mizzou.com/s/1002/images/editor/vet_med/2014_03_newsletter/gift.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600450" cy="2463800"/>
                                      </a:xfrm>
                                      <a:prstGeom prst="rect">
                                        <a:avLst/>
                                      </a:prstGeom>
                                      <a:noFill/>
                                      <a:ln>
                                        <a:noFill/>
                                      </a:ln>
                                    </pic:spPr>
                                  </pic:pic>
                                </a:graphicData>
                              </a:graphic>
                            </wp:inline>
                          </w:drawing>
                        </w:r>
                        <w:r>
                          <w:rPr>
                            <w:rFonts w:ascii="Verdana" w:hAnsi="Verdana"/>
                            <w:color w:val="000000"/>
                            <w:sz w:val="20"/>
                            <w:szCs w:val="20"/>
                          </w:rPr>
                          <w:br/>
                          <w:t xml:space="preserve">Chancellor R. Bowen </w:t>
                        </w:r>
                        <w:proofErr w:type="spellStart"/>
                        <w:r>
                          <w:rPr>
                            <w:rFonts w:ascii="Verdana" w:hAnsi="Verdana"/>
                            <w:color w:val="000000"/>
                            <w:sz w:val="20"/>
                            <w:szCs w:val="20"/>
                          </w:rPr>
                          <w:t>Loftin</w:t>
                        </w:r>
                        <w:proofErr w:type="spellEnd"/>
                        <w:r>
                          <w:rPr>
                            <w:rFonts w:ascii="Verdana" w:hAnsi="Verdana"/>
                            <w:color w:val="000000"/>
                            <w:sz w:val="20"/>
                            <w:szCs w:val="20"/>
                          </w:rPr>
                          <w:t xml:space="preserve"> announces a $2.5 million estate gift given to the MU CVM by Barbara </w:t>
                        </w:r>
                        <w:proofErr w:type="spellStart"/>
                        <w:r>
                          <w:rPr>
                            <w:rFonts w:ascii="Verdana" w:hAnsi="Verdana"/>
                            <w:color w:val="000000"/>
                            <w:sz w:val="20"/>
                            <w:szCs w:val="20"/>
                          </w:rPr>
                          <w:t>Stampfli-Savill</w:t>
                        </w:r>
                        <w:proofErr w:type="spellEnd"/>
                        <w:r>
                          <w:rPr>
                            <w:rFonts w:ascii="Verdana" w:hAnsi="Verdana"/>
                            <w:color w:val="000000"/>
                            <w:sz w:val="20"/>
                            <w:szCs w:val="20"/>
                          </w:rPr>
                          <w:t xml:space="preserve"> and Gary </w:t>
                        </w:r>
                        <w:proofErr w:type="spellStart"/>
                        <w:r>
                          <w:rPr>
                            <w:rFonts w:ascii="Verdana" w:hAnsi="Verdana"/>
                            <w:color w:val="000000"/>
                            <w:sz w:val="20"/>
                            <w:szCs w:val="20"/>
                          </w:rPr>
                          <w:t>Savill</w:t>
                        </w:r>
                        <w:proofErr w:type="spellEnd"/>
                        <w:r>
                          <w:rPr>
                            <w:rFonts w:ascii="Verdana" w:hAnsi="Verdana"/>
                            <w:color w:val="000000"/>
                            <w:sz w:val="20"/>
                            <w:szCs w:val="20"/>
                          </w:rPr>
                          <w:t xml:space="preserve"> of St. Louis.</w:t>
                        </w:r>
                      </w:p>
                      <w:p w:rsidR="00024ABB" w:rsidRDefault="00024ABB">
                        <w:pPr>
                          <w:pStyle w:val="NormalWeb"/>
                          <w:rPr>
                            <w:rFonts w:ascii="Verdana" w:hAnsi="Verdana"/>
                            <w:color w:val="000000"/>
                          </w:rPr>
                        </w:pPr>
                        <w:r>
                          <w:rPr>
                            <w:rFonts w:ascii="Verdana" w:hAnsi="Verdana"/>
                            <w:color w:val="000000"/>
                          </w:rPr>
                          <w:t xml:space="preserve">Gary </w:t>
                        </w:r>
                        <w:proofErr w:type="spellStart"/>
                        <w:r>
                          <w:rPr>
                            <w:rFonts w:ascii="Verdana" w:hAnsi="Verdana"/>
                            <w:color w:val="000000"/>
                          </w:rPr>
                          <w:t>Savill</w:t>
                        </w:r>
                        <w:proofErr w:type="spellEnd"/>
                        <w:r>
                          <w:rPr>
                            <w:rFonts w:ascii="Verdana" w:hAnsi="Verdana"/>
                            <w:color w:val="000000"/>
                          </w:rPr>
                          <w:t xml:space="preserve"> and Barbara </w:t>
                        </w:r>
                        <w:proofErr w:type="spellStart"/>
                        <w:r>
                          <w:rPr>
                            <w:rFonts w:ascii="Verdana" w:hAnsi="Verdana"/>
                            <w:color w:val="000000"/>
                          </w:rPr>
                          <w:t>Stampfli-Savill</w:t>
                        </w:r>
                        <w:proofErr w:type="spellEnd"/>
                        <w:r>
                          <w:rPr>
                            <w:rFonts w:ascii="Verdana" w:hAnsi="Verdana"/>
                            <w:color w:val="000000"/>
                          </w:rPr>
                          <w:t xml:space="preserve">, residents of St. Louis, have made an estate commitment of $2.5 million to the University </w:t>
                        </w:r>
                        <w:r>
                          <w:rPr>
                            <w:rFonts w:ascii="Verdana" w:hAnsi="Verdana"/>
                            <w:color w:val="000000"/>
                          </w:rPr>
                          <w:lastRenderedPageBreak/>
                          <w:t>of Missouri College of Veterinary Medicine. The gift will create an endowment to support scholarships for veterinary students and will encourage volunteer work among its recipients.</w:t>
                        </w:r>
                      </w:p>
                      <w:p w:rsidR="00024ABB" w:rsidRDefault="00024ABB">
                        <w:pPr>
                          <w:pStyle w:val="NormalWeb"/>
                          <w:rPr>
                            <w:rFonts w:ascii="Verdana" w:hAnsi="Verdana"/>
                            <w:color w:val="000000"/>
                          </w:rPr>
                        </w:pPr>
                        <w:r>
                          <w:rPr>
                            <w:rFonts w:ascii="Verdana" w:hAnsi="Verdana"/>
                            <w:color w:val="000000"/>
                          </w:rPr>
                          <w:t xml:space="preserve">“We are thrilled to be able to give this gift to the College of Veterinary Medicine with the intent that it will support the development of future veterinarians for years to come,” Gary </w:t>
                        </w:r>
                        <w:proofErr w:type="spellStart"/>
                        <w:r>
                          <w:rPr>
                            <w:rFonts w:ascii="Verdana" w:hAnsi="Verdana"/>
                            <w:color w:val="000000"/>
                          </w:rPr>
                          <w:t>Savill</w:t>
                        </w:r>
                        <w:proofErr w:type="spellEnd"/>
                        <w:r>
                          <w:rPr>
                            <w:rFonts w:ascii="Verdana" w:hAnsi="Verdana"/>
                            <w:color w:val="000000"/>
                          </w:rPr>
                          <w:t xml:space="preserve"> said. “Barbara and I are animal lovers, and we hope this gift will help care for animals around the nation and the world by educating future classes of veterinarians. We also wish to enable students who otherwise would not be able to afford the education and training required to enter this noble profession. Another important aspect of this scholarship is volunteer work; we hope that students who receive this scholarship will be inspired to continue such charitable work throughout their careers.”</w:t>
                        </w:r>
                      </w:p>
                      <w:p w:rsidR="00024ABB" w:rsidRDefault="00024ABB">
                        <w:pPr>
                          <w:pStyle w:val="NormalWeb"/>
                        </w:pPr>
                        <w:hyperlink r:id="rId9" w:history="1">
                          <w:r>
                            <w:rPr>
                              <w:rStyle w:val="Hyperlink"/>
                              <w:rFonts w:ascii="Verdana" w:hAnsi="Verdana"/>
                            </w:rPr>
                            <w:t>Read More</w:t>
                          </w:r>
                        </w:hyperlink>
                      </w:p>
                    </w:tc>
                  </w:tr>
                  <w:tr w:rsidR="00024ABB">
                    <w:trPr>
                      <w:tblCellSpacing w:w="15" w:type="dxa"/>
                    </w:trPr>
                    <w:tc>
                      <w:tcPr>
                        <w:tcW w:w="0" w:type="auto"/>
                        <w:gridSpan w:val="2"/>
                        <w:tcMar>
                          <w:top w:w="75" w:type="dxa"/>
                          <w:left w:w="75" w:type="dxa"/>
                          <w:bottom w:w="75" w:type="dxa"/>
                          <w:right w:w="75" w:type="dxa"/>
                        </w:tcMar>
                        <w:hideMark/>
                      </w:tcPr>
                      <w:p w:rsidR="00024ABB" w:rsidRDefault="00024ABB">
                        <w:pPr>
                          <w:jc w:val="center"/>
                          <w:rPr>
                            <w:rFonts w:eastAsia="Times New Roman"/>
                          </w:rPr>
                        </w:pPr>
                        <w:r>
                          <w:rPr>
                            <w:rFonts w:eastAsia="Times New Roman"/>
                          </w:rPr>
                          <w:lastRenderedPageBreak/>
                          <w:pict>
                            <v:rect id="_x0000_i1027" style="width:468pt;height:1pt" o:hralign="center" o:hrstd="t" o:hr="t" fillcolor="#a0a0a0" stroked="f"/>
                          </w:pict>
                        </w:r>
                      </w:p>
                    </w:tc>
                  </w:tr>
                  <w:tr w:rsidR="00024ABB">
                    <w:trPr>
                      <w:tblCellSpacing w:w="15" w:type="dxa"/>
                    </w:trPr>
                    <w:tc>
                      <w:tcPr>
                        <w:tcW w:w="5685" w:type="dxa"/>
                        <w:gridSpan w:val="2"/>
                        <w:tcMar>
                          <w:top w:w="75" w:type="dxa"/>
                          <w:left w:w="75" w:type="dxa"/>
                          <w:bottom w:w="75" w:type="dxa"/>
                          <w:right w:w="75" w:type="dxa"/>
                        </w:tcMar>
                        <w:hideMark/>
                      </w:tcPr>
                      <w:p w:rsidR="00024ABB" w:rsidRDefault="00024ABB">
                        <w:pPr>
                          <w:pStyle w:val="Heading3"/>
                          <w:rPr>
                            <w:rFonts w:ascii="Verdana" w:eastAsia="Times New Roman" w:hAnsi="Verdana"/>
                            <w:color w:val="000000"/>
                          </w:rPr>
                        </w:pPr>
                        <w:r>
                          <w:rPr>
                            <w:rFonts w:ascii="Verdana" w:eastAsia="Times New Roman" w:hAnsi="Verdana"/>
                            <w:color w:val="000000"/>
                          </w:rPr>
                          <w:t>Featured News</w:t>
                        </w:r>
                      </w:p>
                    </w:tc>
                  </w:tr>
                  <w:tr w:rsidR="00024ABB">
                    <w:trPr>
                      <w:tblCellSpacing w:w="15" w:type="dxa"/>
                    </w:trPr>
                    <w:tc>
                      <w:tcPr>
                        <w:tcW w:w="0" w:type="auto"/>
                        <w:tcMar>
                          <w:top w:w="75" w:type="dxa"/>
                          <w:left w:w="75" w:type="dxa"/>
                          <w:bottom w:w="75" w:type="dxa"/>
                          <w:right w:w="75" w:type="dxa"/>
                        </w:tcMar>
                        <w:hideMark/>
                      </w:tcPr>
                      <w:p w:rsidR="00024ABB" w:rsidRDefault="00024ABB">
                        <w:pPr>
                          <w:pStyle w:val="NormalWeb"/>
                          <w:rPr>
                            <w:rFonts w:ascii="Verdana" w:hAnsi="Verdana"/>
                            <w:color w:val="000000"/>
                          </w:rPr>
                        </w:pPr>
                        <w:hyperlink r:id="rId10" w:history="1">
                          <w:r>
                            <w:rPr>
                              <w:rStyle w:val="Hyperlink"/>
                              <w:rFonts w:ascii="Verdana" w:hAnsi="Verdana"/>
                            </w:rPr>
                            <w:t>Challenging Cornea Repair Means Owl Can Return to the Wild</w:t>
                          </w:r>
                          <w:r>
                            <w:rPr>
                              <w:rFonts w:ascii="Verdana" w:hAnsi="Verdana"/>
                              <w:color w:val="0000FF"/>
                              <w:u w:val="single"/>
                            </w:rPr>
                            <w:br/>
                          </w:r>
                        </w:hyperlink>
                        <w:r>
                          <w:rPr>
                            <w:rFonts w:ascii="Verdana" w:hAnsi="Verdana"/>
                            <w:noProof/>
                            <w:color w:val="0000FF"/>
                          </w:rPr>
                          <w:drawing>
                            <wp:inline distT="0" distB="0" distL="0" distR="0">
                              <wp:extent cx="3333750" cy="2216150"/>
                              <wp:effectExtent l="0" t="0" r="0" b="0"/>
                              <wp:docPr id="6" name="Picture 6" descr="http://www.mizzou.com/s/1002/images/editor/vet_med/2014_03_newsletter/owl.jp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mizzou.com/s/1002/images/editor/vet_med/2014_03_newsletter/owl.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33750" cy="2216150"/>
                                      </a:xfrm>
                                      <a:prstGeom prst="rect">
                                        <a:avLst/>
                                      </a:prstGeom>
                                      <a:noFill/>
                                      <a:ln>
                                        <a:noFill/>
                                      </a:ln>
                                    </pic:spPr>
                                  </pic:pic>
                                </a:graphicData>
                              </a:graphic>
                            </wp:inline>
                          </w:drawing>
                        </w:r>
                      </w:p>
                      <w:p w:rsidR="00024ABB" w:rsidRDefault="00024ABB">
                        <w:pPr>
                          <w:pStyle w:val="NormalWeb"/>
                          <w:rPr>
                            <w:rFonts w:ascii="Verdana" w:hAnsi="Verdana"/>
                            <w:color w:val="000000"/>
                          </w:rPr>
                        </w:pPr>
                        <w:r>
                          <w:rPr>
                            <w:rFonts w:ascii="Verdana" w:hAnsi="Verdana"/>
                            <w:color w:val="000000"/>
                          </w:rPr>
                          <w:lastRenderedPageBreak/>
                          <w:t> </w:t>
                        </w:r>
                      </w:p>
                      <w:p w:rsidR="00024ABB" w:rsidRDefault="00024ABB">
                        <w:pPr>
                          <w:pStyle w:val="NormalWeb"/>
                          <w:rPr>
                            <w:rFonts w:ascii="Verdana" w:hAnsi="Verdana"/>
                            <w:color w:val="000000"/>
                          </w:rPr>
                        </w:pPr>
                        <w:hyperlink r:id="rId13" w:history="1">
                          <w:r>
                            <w:rPr>
                              <w:rStyle w:val="Hyperlink"/>
                              <w:rFonts w:ascii="Verdana" w:hAnsi="Verdana"/>
                            </w:rPr>
                            <w:t>MU Veterinarians Put Springfield Dog on the Road to Recovery After Overpass Fall</w:t>
                          </w:r>
                          <w:r>
                            <w:rPr>
                              <w:rFonts w:ascii="Verdana" w:hAnsi="Verdana"/>
                              <w:color w:val="0000FF"/>
                              <w:u w:val="single"/>
                            </w:rPr>
                            <w:br/>
                          </w:r>
                        </w:hyperlink>
                        <w:r>
                          <w:rPr>
                            <w:rFonts w:ascii="Verdana" w:hAnsi="Verdana"/>
                            <w:noProof/>
                            <w:color w:val="0000FF"/>
                          </w:rPr>
                          <w:drawing>
                            <wp:inline distT="0" distB="0" distL="0" distR="0">
                              <wp:extent cx="3092450" cy="2120900"/>
                              <wp:effectExtent l="0" t="0" r="0" b="0"/>
                              <wp:docPr id="5" name="Picture 5" descr="http://www.mizzou.com/s/1002/images/editor/vet_med/2014_03_newsletter/chance.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mizzou.com/s/1002/images/editor/vet_med/2014_03_newsletter/chance.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092450" cy="2120900"/>
                                      </a:xfrm>
                                      <a:prstGeom prst="rect">
                                        <a:avLst/>
                                      </a:prstGeom>
                                      <a:noFill/>
                                      <a:ln>
                                        <a:noFill/>
                                      </a:ln>
                                    </pic:spPr>
                                  </pic:pic>
                                </a:graphicData>
                              </a:graphic>
                            </wp:inline>
                          </w:drawing>
                        </w:r>
                      </w:p>
                    </w:tc>
                    <w:tc>
                      <w:tcPr>
                        <w:tcW w:w="0" w:type="auto"/>
                        <w:tcMar>
                          <w:top w:w="75" w:type="dxa"/>
                          <w:left w:w="75" w:type="dxa"/>
                          <w:bottom w:w="75" w:type="dxa"/>
                          <w:right w:w="75" w:type="dxa"/>
                        </w:tcMar>
                        <w:vAlign w:val="center"/>
                        <w:hideMark/>
                      </w:tcPr>
                      <w:p w:rsidR="00024ABB" w:rsidRDefault="00024ABB">
                        <w:pPr>
                          <w:rPr>
                            <w:rFonts w:ascii="Verdana" w:hAnsi="Verdana"/>
                            <w:color w:val="000000"/>
                          </w:rPr>
                        </w:pPr>
                      </w:p>
                    </w:tc>
                  </w:tr>
                </w:tbl>
                <w:p w:rsidR="00024ABB" w:rsidRDefault="00024ABB">
                  <w:pPr>
                    <w:rPr>
                      <w:rFonts w:eastAsia="Times New Roman"/>
                      <w:sz w:val="20"/>
                      <w:szCs w:val="20"/>
                    </w:rPr>
                  </w:pPr>
                </w:p>
              </w:tc>
              <w:tc>
                <w:tcPr>
                  <w:tcW w:w="15" w:type="dxa"/>
                  <w:tcBorders>
                    <w:top w:val="nil"/>
                    <w:left w:val="single" w:sz="8" w:space="0" w:color="000000"/>
                    <w:bottom w:val="nil"/>
                    <w:right w:val="nil"/>
                  </w:tcBorders>
                  <w:shd w:val="clear" w:color="auto" w:fill="EAEABD"/>
                  <w:tcMar>
                    <w:top w:w="15" w:type="dxa"/>
                    <w:left w:w="15" w:type="dxa"/>
                    <w:bottom w:w="15" w:type="dxa"/>
                    <w:right w:w="15" w:type="dxa"/>
                  </w:tcMar>
                  <w:vAlign w:val="center"/>
                  <w:hideMark/>
                </w:tcPr>
                <w:p w:rsidR="00024ABB" w:rsidRDefault="00024ABB">
                  <w:pPr>
                    <w:rPr>
                      <w:rFonts w:eastAsia="Times New Roman"/>
                      <w:sz w:val="20"/>
                      <w:szCs w:val="20"/>
                    </w:rPr>
                  </w:pPr>
                </w:p>
              </w:tc>
              <w:tc>
                <w:tcPr>
                  <w:tcW w:w="2940" w:type="dxa"/>
                  <w:shd w:val="clear" w:color="auto" w:fill="EAEABD"/>
                  <w:tcMar>
                    <w:top w:w="15" w:type="dxa"/>
                    <w:left w:w="15" w:type="dxa"/>
                    <w:bottom w:w="15" w:type="dxa"/>
                    <w:right w:w="15" w:type="dxa"/>
                  </w:tcMar>
                  <w:hideMark/>
                </w:tcPr>
                <w:tbl>
                  <w:tblPr>
                    <w:tblW w:w="2940" w:type="dxa"/>
                    <w:tblCellSpacing w:w="15" w:type="dxa"/>
                    <w:tblCellMar>
                      <w:left w:w="0" w:type="dxa"/>
                      <w:right w:w="0" w:type="dxa"/>
                    </w:tblCellMar>
                    <w:tblLook w:val="04A0" w:firstRow="1" w:lastRow="0" w:firstColumn="1" w:lastColumn="0" w:noHBand="0" w:noVBand="1"/>
                  </w:tblPr>
                  <w:tblGrid>
                    <w:gridCol w:w="3015"/>
                    <w:gridCol w:w="105"/>
                  </w:tblGrid>
                  <w:tr w:rsidR="00024ABB">
                    <w:trPr>
                      <w:tblCellSpacing w:w="15" w:type="dxa"/>
                    </w:trPr>
                    <w:tc>
                      <w:tcPr>
                        <w:tcW w:w="2940" w:type="dxa"/>
                        <w:tcMar>
                          <w:top w:w="15" w:type="dxa"/>
                          <w:left w:w="15" w:type="dxa"/>
                          <w:bottom w:w="15" w:type="dxa"/>
                          <w:right w:w="15" w:type="dxa"/>
                        </w:tcMar>
                        <w:hideMark/>
                      </w:tcPr>
                      <w:p w:rsidR="00024ABB" w:rsidRDefault="00024ABB">
                        <w:pPr>
                          <w:pStyle w:val="Heading3"/>
                          <w:rPr>
                            <w:rFonts w:ascii="Verdana" w:eastAsia="Times New Roman" w:hAnsi="Verdana"/>
                            <w:color w:val="000000"/>
                          </w:rPr>
                        </w:pPr>
                        <w:r>
                          <w:rPr>
                            <w:rFonts w:ascii="Verdana" w:eastAsia="Times New Roman" w:hAnsi="Verdana"/>
                            <w:color w:val="000000"/>
                          </w:rPr>
                          <w:t>Upcoming Events</w:t>
                        </w:r>
                      </w:p>
                    </w:tc>
                    <w:tc>
                      <w:tcPr>
                        <w:tcW w:w="290" w:type="dxa"/>
                        <w:vAlign w:val="center"/>
                        <w:hideMark/>
                      </w:tcPr>
                      <w:p w:rsidR="00024ABB" w:rsidRDefault="00024ABB">
                        <w:r>
                          <w:t> </w:t>
                        </w:r>
                      </w:p>
                    </w:tc>
                  </w:tr>
                  <w:tr w:rsidR="00024ABB">
                    <w:trPr>
                      <w:tblCellSpacing w:w="15" w:type="dxa"/>
                    </w:trPr>
                    <w:tc>
                      <w:tcPr>
                        <w:tcW w:w="0" w:type="auto"/>
                        <w:tcMar>
                          <w:top w:w="15" w:type="dxa"/>
                          <w:left w:w="15" w:type="dxa"/>
                          <w:bottom w:w="15" w:type="dxa"/>
                          <w:right w:w="15" w:type="dxa"/>
                        </w:tcMar>
                        <w:hideMark/>
                      </w:tcPr>
                      <w:p w:rsidR="00024ABB" w:rsidRDefault="00024ABB">
                        <w:pPr>
                          <w:pStyle w:val="NormalWeb"/>
                        </w:pPr>
                        <w:r>
                          <w:rPr>
                            <w:rFonts w:ascii="Verdana" w:hAnsi="Verdana"/>
                            <w:b/>
                            <w:bCs/>
                            <w:color w:val="000000"/>
                          </w:rPr>
                          <w:br/>
                        </w:r>
                        <w:r>
                          <w:rPr>
                            <w:rStyle w:val="Strong"/>
                            <w:rFonts w:ascii="Verdana" w:hAnsi="Verdana"/>
                            <w:color w:val="000000"/>
                          </w:rPr>
                          <w:t xml:space="preserve">Gentle Doctor Benefit </w:t>
                        </w:r>
                        <w:r>
                          <w:rPr>
                            <w:rFonts w:ascii="Verdana" w:hAnsi="Verdana"/>
                            <w:color w:val="000000"/>
                          </w:rPr>
                          <w:br/>
                        </w:r>
                        <w:r>
                          <w:rPr>
                            <w:rFonts w:ascii="Verdana" w:hAnsi="Verdana"/>
                            <w:color w:val="000000"/>
                          </w:rPr>
                          <w:br/>
                        </w:r>
                        <w:r>
                          <w:rPr>
                            <w:rStyle w:val="Emphasis"/>
                            <w:rFonts w:ascii="Verdana" w:hAnsi="Verdana"/>
                            <w:color w:val="000000"/>
                          </w:rPr>
                          <w:t xml:space="preserve">April 5, 2014 5 p.m. </w:t>
                        </w:r>
                        <w:r>
                          <w:rPr>
                            <w:rFonts w:ascii="Verdana" w:hAnsi="Verdana"/>
                            <w:i/>
                            <w:iCs/>
                            <w:color w:val="000000"/>
                          </w:rPr>
                          <w:br/>
                        </w:r>
                        <w:r>
                          <w:rPr>
                            <w:rStyle w:val="Emphasis"/>
                            <w:rFonts w:ascii="Verdana" w:hAnsi="Verdana"/>
                            <w:color w:val="000000"/>
                          </w:rPr>
                          <w:t xml:space="preserve">Holiday Inn Executive Center </w:t>
                        </w:r>
                      </w:p>
                      <w:p w:rsidR="00024ABB" w:rsidRDefault="00024ABB">
                        <w:pPr>
                          <w:pStyle w:val="NormalWeb"/>
                        </w:pPr>
                        <w:hyperlink r:id="rId16" w:history="1">
                          <w:r>
                            <w:rPr>
                              <w:rStyle w:val="Hyperlink"/>
                              <w:rFonts w:ascii="Verdana" w:hAnsi="Verdana"/>
                            </w:rPr>
                            <w:t>Find out more here</w:t>
                          </w:r>
                        </w:hyperlink>
                      </w:p>
                      <w:p w:rsidR="00024ABB" w:rsidRDefault="00024ABB">
                        <w:pPr>
                          <w:pStyle w:val="NormalWeb"/>
                        </w:pPr>
                        <w:r>
                          <w:rPr>
                            <w:rStyle w:val="Strong"/>
                            <w:rFonts w:ascii="Verdana" w:hAnsi="Verdana"/>
                            <w:color w:val="000000"/>
                          </w:rPr>
                          <w:t xml:space="preserve">Dental CE Seminar </w:t>
                        </w:r>
                        <w:r>
                          <w:rPr>
                            <w:rFonts w:ascii="Verdana" w:hAnsi="Verdana"/>
                            <w:color w:val="000000"/>
                          </w:rPr>
                          <w:br/>
                        </w:r>
                        <w:r>
                          <w:rPr>
                            <w:rFonts w:ascii="Verdana" w:hAnsi="Verdana"/>
                            <w:color w:val="000000"/>
                          </w:rPr>
                          <w:br/>
                        </w:r>
                        <w:r>
                          <w:rPr>
                            <w:rStyle w:val="Emphasis"/>
                            <w:rFonts w:ascii="Verdana" w:hAnsi="Verdana"/>
                            <w:color w:val="000000"/>
                          </w:rPr>
                          <w:t>April 26-27, 2014</w:t>
                        </w:r>
                        <w:r>
                          <w:rPr>
                            <w:rFonts w:ascii="Verdana" w:hAnsi="Verdana"/>
                            <w:i/>
                            <w:iCs/>
                            <w:color w:val="000000"/>
                          </w:rPr>
                          <w:br/>
                        </w:r>
                        <w:r>
                          <w:rPr>
                            <w:rFonts w:ascii="Verdana" w:hAnsi="Verdana"/>
                            <w:i/>
                            <w:iCs/>
                            <w:color w:val="000000"/>
                          </w:rPr>
                          <w:br/>
                        </w:r>
                        <w:r>
                          <w:rPr>
                            <w:rStyle w:val="Emphasis"/>
                            <w:rFonts w:ascii="Verdana" w:hAnsi="Verdana"/>
                            <w:color w:val="000000"/>
                          </w:rPr>
                          <w:t xml:space="preserve">Adams Conference Center and the Auditorium </w:t>
                        </w:r>
                      </w:p>
                      <w:p w:rsidR="00024ABB" w:rsidRDefault="00024ABB">
                        <w:pPr>
                          <w:pStyle w:val="NormalWeb"/>
                        </w:pPr>
                        <w:hyperlink r:id="rId17" w:history="1">
                          <w:r>
                            <w:rPr>
                              <w:rStyle w:val="Hyperlink"/>
                              <w:rFonts w:ascii="Verdana" w:hAnsi="Verdana"/>
                            </w:rPr>
                            <w:t>Learn more and register here</w:t>
                          </w:r>
                        </w:hyperlink>
                      </w:p>
                    </w:tc>
                    <w:tc>
                      <w:tcPr>
                        <w:tcW w:w="290" w:type="dxa"/>
                        <w:vAlign w:val="center"/>
                        <w:hideMark/>
                      </w:tcPr>
                      <w:p w:rsidR="00024ABB" w:rsidRDefault="00024ABB">
                        <w:r>
                          <w:t> </w:t>
                        </w:r>
                      </w:p>
                    </w:tc>
                  </w:tr>
                  <w:tr w:rsidR="00024ABB">
                    <w:trPr>
                      <w:tblCellSpacing w:w="15" w:type="dxa"/>
                    </w:trPr>
                    <w:tc>
                      <w:tcPr>
                        <w:tcW w:w="0" w:type="auto"/>
                        <w:tcMar>
                          <w:top w:w="15" w:type="dxa"/>
                          <w:left w:w="15" w:type="dxa"/>
                          <w:bottom w:w="15" w:type="dxa"/>
                          <w:right w:w="15" w:type="dxa"/>
                        </w:tcMar>
                        <w:hideMark/>
                      </w:tcPr>
                      <w:p w:rsidR="00024ABB" w:rsidRDefault="00024ABB">
                        <w:pPr>
                          <w:jc w:val="center"/>
                          <w:rPr>
                            <w:rFonts w:eastAsia="Times New Roman"/>
                          </w:rPr>
                        </w:pPr>
                        <w:r>
                          <w:rPr>
                            <w:rFonts w:eastAsia="Times New Roman"/>
                          </w:rPr>
                          <w:pict>
                            <v:rect id="_x0000_i1030" style="width:468pt;height:1pt" o:hralign="center" o:hrstd="t" o:hr="t" fillcolor="#a0a0a0" stroked="f"/>
                          </w:pict>
                        </w:r>
                      </w:p>
                    </w:tc>
                    <w:tc>
                      <w:tcPr>
                        <w:tcW w:w="290" w:type="dxa"/>
                        <w:vAlign w:val="center"/>
                        <w:hideMark/>
                      </w:tcPr>
                      <w:p w:rsidR="00024ABB" w:rsidRDefault="00024ABB">
                        <w:r>
                          <w:t> </w:t>
                        </w:r>
                      </w:p>
                    </w:tc>
                  </w:tr>
                  <w:tr w:rsidR="00024ABB">
                    <w:trPr>
                      <w:tblCellSpacing w:w="15" w:type="dxa"/>
                    </w:trPr>
                    <w:tc>
                      <w:tcPr>
                        <w:tcW w:w="0" w:type="auto"/>
                        <w:tcMar>
                          <w:top w:w="15" w:type="dxa"/>
                          <w:left w:w="15" w:type="dxa"/>
                          <w:bottom w:w="15" w:type="dxa"/>
                          <w:right w:w="15" w:type="dxa"/>
                        </w:tcMar>
                        <w:hideMark/>
                      </w:tcPr>
                      <w:p w:rsidR="00024ABB" w:rsidRDefault="00024ABB">
                        <w:pPr>
                          <w:pStyle w:val="Heading3"/>
                          <w:rPr>
                            <w:rFonts w:ascii="Verdana" w:eastAsia="Times New Roman" w:hAnsi="Verdana"/>
                            <w:color w:val="000000"/>
                          </w:rPr>
                        </w:pPr>
                        <w:r>
                          <w:rPr>
                            <w:rFonts w:ascii="Verdana" w:eastAsia="Times New Roman" w:hAnsi="Verdana"/>
                            <w:color w:val="000000"/>
                          </w:rPr>
                          <w:t>Research Focus</w:t>
                        </w:r>
                      </w:p>
                    </w:tc>
                    <w:tc>
                      <w:tcPr>
                        <w:tcW w:w="290" w:type="dxa"/>
                        <w:vAlign w:val="center"/>
                        <w:hideMark/>
                      </w:tcPr>
                      <w:p w:rsidR="00024ABB" w:rsidRDefault="00024ABB">
                        <w:r>
                          <w:t> </w:t>
                        </w:r>
                      </w:p>
                    </w:tc>
                  </w:tr>
                  <w:tr w:rsidR="00024ABB">
                    <w:trPr>
                      <w:tblCellSpacing w:w="15" w:type="dxa"/>
                    </w:trPr>
                    <w:tc>
                      <w:tcPr>
                        <w:tcW w:w="0" w:type="auto"/>
                        <w:tcMar>
                          <w:top w:w="15" w:type="dxa"/>
                          <w:left w:w="15" w:type="dxa"/>
                          <w:bottom w:w="15" w:type="dxa"/>
                          <w:right w:w="15" w:type="dxa"/>
                        </w:tcMar>
                        <w:hideMark/>
                      </w:tcPr>
                      <w:p w:rsidR="00024ABB" w:rsidRDefault="00024ABB">
                        <w:pPr>
                          <w:pStyle w:val="NormalWeb"/>
                        </w:pPr>
                        <w:hyperlink r:id="rId18" w:history="1">
                          <w:r>
                            <w:rPr>
                              <w:rStyle w:val="Hyperlink"/>
                              <w:rFonts w:ascii="Verdana" w:hAnsi="Verdana"/>
                            </w:rPr>
                            <w:t>Faster Anthrax Detection Could Speed Bioterror Response and Save Millions in Decontamination Costs</w:t>
                          </w:r>
                        </w:hyperlink>
                      </w:p>
                      <w:p w:rsidR="00024ABB" w:rsidRDefault="00024ABB">
                        <w:pPr>
                          <w:pStyle w:val="NormalWeb"/>
                        </w:pPr>
                        <w:hyperlink r:id="rId19" w:history="1">
                          <w:r>
                            <w:rPr>
                              <w:rStyle w:val="Hyperlink"/>
                              <w:rFonts w:ascii="Verdana" w:hAnsi="Verdana"/>
                            </w:rPr>
                            <w:t>CVM’s Middleton Named National Mastitis Council President</w:t>
                          </w:r>
                        </w:hyperlink>
                      </w:p>
                      <w:p w:rsidR="00024ABB" w:rsidRDefault="00024ABB">
                        <w:pPr>
                          <w:pStyle w:val="NormalWeb"/>
                        </w:pPr>
                        <w:hyperlink r:id="rId20" w:history="1">
                          <w:r>
                            <w:rPr>
                              <w:rStyle w:val="Hyperlink"/>
                              <w:rFonts w:ascii="Verdana" w:hAnsi="Verdana"/>
                            </w:rPr>
                            <w:t>Surgical Resident Jessica Knapp Receives Research Award</w:t>
                          </w:r>
                        </w:hyperlink>
                      </w:p>
                    </w:tc>
                    <w:tc>
                      <w:tcPr>
                        <w:tcW w:w="290" w:type="dxa"/>
                        <w:vAlign w:val="center"/>
                        <w:hideMark/>
                      </w:tcPr>
                      <w:p w:rsidR="00024ABB" w:rsidRDefault="00024ABB">
                        <w:r>
                          <w:t> </w:t>
                        </w:r>
                      </w:p>
                    </w:tc>
                  </w:tr>
                  <w:tr w:rsidR="00024ABB">
                    <w:trPr>
                      <w:tblCellSpacing w:w="15" w:type="dxa"/>
                    </w:trPr>
                    <w:tc>
                      <w:tcPr>
                        <w:tcW w:w="0" w:type="auto"/>
                        <w:tcMar>
                          <w:top w:w="15" w:type="dxa"/>
                          <w:left w:w="15" w:type="dxa"/>
                          <w:bottom w:w="15" w:type="dxa"/>
                          <w:right w:w="15" w:type="dxa"/>
                        </w:tcMar>
                        <w:hideMark/>
                      </w:tcPr>
                      <w:p w:rsidR="00024ABB" w:rsidRDefault="00024ABB">
                        <w:pPr>
                          <w:jc w:val="center"/>
                          <w:rPr>
                            <w:rFonts w:eastAsia="Times New Roman"/>
                          </w:rPr>
                        </w:pPr>
                        <w:r>
                          <w:rPr>
                            <w:rFonts w:eastAsia="Times New Roman"/>
                          </w:rPr>
                          <w:pict>
                            <v:rect id="_x0000_i1031" style="width:468pt;height:1pt" o:hralign="center" o:hrstd="t" o:hr="t" fillcolor="#a0a0a0" stroked="f"/>
                          </w:pict>
                        </w:r>
                      </w:p>
                    </w:tc>
                    <w:tc>
                      <w:tcPr>
                        <w:tcW w:w="290" w:type="dxa"/>
                        <w:vAlign w:val="center"/>
                        <w:hideMark/>
                      </w:tcPr>
                      <w:p w:rsidR="00024ABB" w:rsidRDefault="00024ABB">
                        <w:r>
                          <w:t> </w:t>
                        </w:r>
                      </w:p>
                    </w:tc>
                  </w:tr>
                  <w:tr w:rsidR="00024ABB">
                    <w:trPr>
                      <w:tblCellSpacing w:w="15" w:type="dxa"/>
                    </w:trPr>
                    <w:tc>
                      <w:tcPr>
                        <w:tcW w:w="5685" w:type="dxa"/>
                        <w:gridSpan w:val="2"/>
                        <w:tcMar>
                          <w:top w:w="15" w:type="dxa"/>
                          <w:left w:w="15" w:type="dxa"/>
                          <w:bottom w:w="15" w:type="dxa"/>
                          <w:right w:w="15" w:type="dxa"/>
                        </w:tcMar>
                        <w:hideMark/>
                      </w:tcPr>
                      <w:p w:rsidR="00024ABB" w:rsidRDefault="00024ABB">
                        <w:pPr>
                          <w:pStyle w:val="Heading3"/>
                          <w:rPr>
                            <w:rFonts w:ascii="Verdana" w:eastAsia="Times New Roman" w:hAnsi="Verdana"/>
                            <w:color w:val="000000"/>
                          </w:rPr>
                        </w:pPr>
                        <w:r>
                          <w:rPr>
                            <w:rFonts w:ascii="Verdana" w:eastAsia="Times New Roman" w:hAnsi="Verdana"/>
                            <w:color w:val="000000"/>
                          </w:rPr>
                          <w:t>Giving</w:t>
                        </w:r>
                      </w:p>
                    </w:tc>
                  </w:tr>
                  <w:tr w:rsidR="00024ABB">
                    <w:trPr>
                      <w:tblCellSpacing w:w="15" w:type="dxa"/>
                    </w:trPr>
                    <w:tc>
                      <w:tcPr>
                        <w:tcW w:w="5685" w:type="dxa"/>
                        <w:gridSpan w:val="2"/>
                        <w:tcMar>
                          <w:top w:w="15" w:type="dxa"/>
                          <w:left w:w="15" w:type="dxa"/>
                          <w:bottom w:w="15" w:type="dxa"/>
                          <w:right w:w="15" w:type="dxa"/>
                        </w:tcMar>
                        <w:hideMark/>
                      </w:tcPr>
                      <w:p w:rsidR="00024ABB" w:rsidRDefault="00024ABB">
                        <w:pPr>
                          <w:pStyle w:val="NormalWeb"/>
                          <w:rPr>
                            <w:rFonts w:ascii="Verdana" w:hAnsi="Verdana"/>
                            <w:color w:val="000000"/>
                          </w:rPr>
                        </w:pPr>
                        <w:hyperlink r:id="rId21" w:history="1">
                          <w:r>
                            <w:rPr>
                              <w:rStyle w:val="Hyperlink"/>
                              <w:rFonts w:ascii="Verdana" w:hAnsi="Verdana"/>
                            </w:rPr>
                            <w:t>Learn More About Ways to Support the CVM</w:t>
                          </w:r>
                        </w:hyperlink>
                      </w:p>
                    </w:tc>
                  </w:tr>
                  <w:tr w:rsidR="00024ABB">
                    <w:trPr>
                      <w:tblCellSpacing w:w="15" w:type="dxa"/>
                    </w:trPr>
                    <w:tc>
                      <w:tcPr>
                        <w:tcW w:w="0" w:type="auto"/>
                        <w:tcMar>
                          <w:top w:w="15" w:type="dxa"/>
                          <w:left w:w="15" w:type="dxa"/>
                          <w:bottom w:w="15" w:type="dxa"/>
                          <w:right w:w="15" w:type="dxa"/>
                        </w:tcMar>
                        <w:hideMark/>
                      </w:tcPr>
                      <w:p w:rsidR="00024ABB" w:rsidRDefault="00024ABB">
                        <w:pPr>
                          <w:jc w:val="center"/>
                          <w:rPr>
                            <w:rFonts w:eastAsia="Times New Roman"/>
                          </w:rPr>
                        </w:pPr>
                        <w:r>
                          <w:rPr>
                            <w:rFonts w:eastAsia="Times New Roman"/>
                          </w:rPr>
                          <w:pict>
                            <v:rect id="_x0000_i1032" style="width:468pt;height:1pt" o:hralign="center" o:hrstd="t" o:hr="t" fillcolor="#a0a0a0" stroked="f"/>
                          </w:pict>
                        </w:r>
                      </w:p>
                    </w:tc>
                    <w:tc>
                      <w:tcPr>
                        <w:tcW w:w="0" w:type="auto"/>
                        <w:tcMar>
                          <w:top w:w="15" w:type="dxa"/>
                          <w:left w:w="15" w:type="dxa"/>
                          <w:bottom w:w="15" w:type="dxa"/>
                          <w:right w:w="15" w:type="dxa"/>
                        </w:tcMar>
                        <w:vAlign w:val="center"/>
                        <w:hideMark/>
                      </w:tcPr>
                      <w:p w:rsidR="00024ABB" w:rsidRDefault="00024ABB">
                        <w:pPr>
                          <w:jc w:val="center"/>
                          <w:rPr>
                            <w:rFonts w:eastAsia="Times New Roman"/>
                          </w:rPr>
                        </w:pPr>
                      </w:p>
                    </w:tc>
                  </w:tr>
                  <w:tr w:rsidR="00024ABB">
                    <w:trPr>
                      <w:tblCellSpacing w:w="15" w:type="dxa"/>
                    </w:trPr>
                    <w:tc>
                      <w:tcPr>
                        <w:tcW w:w="0" w:type="auto"/>
                        <w:tcMar>
                          <w:top w:w="15" w:type="dxa"/>
                          <w:left w:w="15" w:type="dxa"/>
                          <w:bottom w:w="15" w:type="dxa"/>
                          <w:right w:w="15" w:type="dxa"/>
                        </w:tcMar>
                        <w:hideMark/>
                      </w:tcPr>
                      <w:p w:rsidR="00024ABB" w:rsidRDefault="00024ABB">
                        <w:pPr>
                          <w:pStyle w:val="Heading3"/>
                          <w:rPr>
                            <w:rFonts w:ascii="Verdana" w:eastAsia="Times New Roman" w:hAnsi="Verdana"/>
                            <w:color w:val="000000"/>
                          </w:rPr>
                        </w:pPr>
                        <w:r>
                          <w:rPr>
                            <w:rFonts w:ascii="Verdana" w:eastAsia="Times New Roman" w:hAnsi="Verdana"/>
                            <w:color w:val="000000"/>
                          </w:rPr>
                          <w:t>Through the Lens</w:t>
                        </w:r>
                      </w:p>
                    </w:tc>
                    <w:tc>
                      <w:tcPr>
                        <w:tcW w:w="0" w:type="auto"/>
                        <w:tcMar>
                          <w:top w:w="15" w:type="dxa"/>
                          <w:left w:w="15" w:type="dxa"/>
                          <w:bottom w:w="15" w:type="dxa"/>
                          <w:right w:w="15" w:type="dxa"/>
                        </w:tcMar>
                        <w:vAlign w:val="center"/>
                        <w:hideMark/>
                      </w:tcPr>
                      <w:p w:rsidR="00024ABB" w:rsidRDefault="00024ABB">
                        <w:pPr>
                          <w:rPr>
                            <w:rFonts w:ascii="Verdana" w:eastAsia="Times New Roman" w:hAnsi="Verdana"/>
                            <w:color w:val="000000"/>
                          </w:rPr>
                        </w:pPr>
                      </w:p>
                    </w:tc>
                  </w:tr>
                  <w:tr w:rsidR="00024ABB">
                    <w:trPr>
                      <w:tblCellSpacing w:w="15" w:type="dxa"/>
                    </w:trPr>
                    <w:tc>
                      <w:tcPr>
                        <w:tcW w:w="0" w:type="auto"/>
                        <w:tcMar>
                          <w:top w:w="15" w:type="dxa"/>
                          <w:left w:w="15" w:type="dxa"/>
                          <w:bottom w:w="15" w:type="dxa"/>
                          <w:right w:w="15" w:type="dxa"/>
                        </w:tcMar>
                        <w:hideMark/>
                      </w:tcPr>
                      <w:p w:rsidR="00024ABB" w:rsidRDefault="00024ABB">
                        <w:r>
                          <w:rPr>
                            <w:noProof/>
                            <w:color w:val="0000FF"/>
                          </w:rPr>
                          <w:drawing>
                            <wp:inline distT="0" distB="0" distL="0" distR="0">
                              <wp:extent cx="1866900" cy="2800350"/>
                              <wp:effectExtent l="0" t="0" r="0" b="0"/>
                              <wp:docPr id="4" name="Picture 4" descr="http://www.mizzou.com/s/1002/images/editor/vet_med/2014_03_newsletter/through-the-lens.jpg">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mizzou.com/s/1002/images/editor/vet_med/2014_03_newsletter/through-the-lens.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66900" cy="2800350"/>
                                      </a:xfrm>
                                      <a:prstGeom prst="rect">
                                        <a:avLst/>
                                      </a:prstGeom>
                                      <a:noFill/>
                                      <a:ln>
                                        <a:noFill/>
                                      </a:ln>
                                    </pic:spPr>
                                  </pic:pic>
                                </a:graphicData>
                              </a:graphic>
                            </wp:inline>
                          </w:drawing>
                        </w:r>
                      </w:p>
                      <w:p w:rsidR="00024ABB" w:rsidRDefault="00024ABB">
                        <w:pPr>
                          <w:pStyle w:val="NormalWeb"/>
                        </w:pPr>
                        <w:r>
                          <w:rPr>
                            <w:rFonts w:ascii="Verdana" w:hAnsi="Verdana"/>
                            <w:color w:val="000000"/>
                          </w:rPr>
                          <w:t xml:space="preserve">Check out more </w:t>
                        </w:r>
                        <w:hyperlink r:id="rId24" w:history="1">
                          <w:r>
                            <w:rPr>
                              <w:rStyle w:val="Hyperlink"/>
                              <w:rFonts w:ascii="Verdana" w:hAnsi="Verdana"/>
                            </w:rPr>
                            <w:t xml:space="preserve">photos </w:t>
                          </w:r>
                        </w:hyperlink>
                        <w:r>
                          <w:rPr>
                            <w:rFonts w:ascii="Verdana" w:hAnsi="Verdana"/>
                            <w:color w:val="000000"/>
                          </w:rPr>
                          <w:t xml:space="preserve">on </w:t>
                        </w:r>
                        <w:hyperlink r:id="rId25" w:history="1">
                          <w:r>
                            <w:rPr>
                              <w:rStyle w:val="Hyperlink"/>
                              <w:rFonts w:ascii="Verdana" w:hAnsi="Verdana"/>
                            </w:rPr>
                            <w:t>Facebook!</w:t>
                          </w:r>
                        </w:hyperlink>
                      </w:p>
                    </w:tc>
                    <w:tc>
                      <w:tcPr>
                        <w:tcW w:w="0" w:type="auto"/>
                        <w:tcMar>
                          <w:top w:w="15" w:type="dxa"/>
                          <w:left w:w="15" w:type="dxa"/>
                          <w:bottom w:w="15" w:type="dxa"/>
                          <w:right w:w="15" w:type="dxa"/>
                        </w:tcMar>
                        <w:vAlign w:val="center"/>
                        <w:hideMark/>
                      </w:tcPr>
                      <w:p w:rsidR="00024ABB" w:rsidRDefault="00024ABB"/>
                    </w:tc>
                  </w:tr>
                </w:tbl>
                <w:p w:rsidR="00024ABB" w:rsidRDefault="00024ABB">
                  <w:pPr>
                    <w:rPr>
                      <w:rFonts w:eastAsia="Times New Roman"/>
                      <w:sz w:val="20"/>
                      <w:szCs w:val="20"/>
                    </w:rPr>
                  </w:pPr>
                </w:p>
              </w:tc>
              <w:tc>
                <w:tcPr>
                  <w:tcW w:w="0" w:type="auto"/>
                  <w:shd w:val="clear" w:color="auto" w:fill="EAEABD"/>
                  <w:tcMar>
                    <w:top w:w="15" w:type="dxa"/>
                    <w:left w:w="15" w:type="dxa"/>
                    <w:bottom w:w="15" w:type="dxa"/>
                    <w:right w:w="15" w:type="dxa"/>
                  </w:tcMar>
                  <w:vAlign w:val="center"/>
                  <w:hideMark/>
                </w:tcPr>
                <w:p w:rsidR="00024ABB" w:rsidRDefault="00024ABB">
                  <w:pPr>
                    <w:rPr>
                      <w:rFonts w:eastAsia="Times New Roman"/>
                      <w:sz w:val="20"/>
                      <w:szCs w:val="20"/>
                    </w:rPr>
                  </w:pPr>
                </w:p>
              </w:tc>
            </w:tr>
            <w:tr w:rsidR="00024ABB">
              <w:trPr>
                <w:tblCellSpacing w:w="15" w:type="dxa"/>
                <w:jc w:val="center"/>
              </w:trPr>
              <w:tc>
                <w:tcPr>
                  <w:tcW w:w="0" w:type="auto"/>
                  <w:gridSpan w:val="3"/>
                  <w:shd w:val="clear" w:color="auto" w:fill="EAEABD"/>
                  <w:tcMar>
                    <w:top w:w="15" w:type="dxa"/>
                    <w:left w:w="15" w:type="dxa"/>
                    <w:bottom w:w="15" w:type="dxa"/>
                    <w:right w:w="15" w:type="dxa"/>
                  </w:tcMar>
                  <w:vAlign w:val="center"/>
                  <w:hideMark/>
                </w:tcPr>
                <w:p w:rsidR="00024ABB" w:rsidRDefault="00024ABB">
                  <w:pPr>
                    <w:jc w:val="center"/>
                  </w:pPr>
                  <w:r>
                    <w:rPr>
                      <w:noProof/>
                      <w:color w:val="0000FF"/>
                    </w:rPr>
                    <w:lastRenderedPageBreak/>
                    <w:drawing>
                      <wp:inline distT="0" distB="0" distL="0" distR="0">
                        <wp:extent cx="342900" cy="342900"/>
                        <wp:effectExtent l="0" t="0" r="0" b="0"/>
                        <wp:docPr id="3" name="Picture 3" descr="http://www.mizzou.com/s/1002/images/editor/vet_med/facebook-large.png">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mizzou.com/s/1002/images/editor/vet_med/facebook-large.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r>
                    <w:t> </w:t>
                  </w:r>
                  <w:r>
                    <w:rPr>
                      <w:noProof/>
                      <w:color w:val="0000FF"/>
                    </w:rPr>
                    <w:drawing>
                      <wp:inline distT="0" distB="0" distL="0" distR="0">
                        <wp:extent cx="342900" cy="342900"/>
                        <wp:effectExtent l="0" t="0" r="0" b="0"/>
                        <wp:docPr id="2" name="Picture 2" descr="http://www.mizzou.com/s/1002/images/editor/vet_med/twitter-large.png">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mizzou.com/s/1002/images/editor/vet_med/twitter-large.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r>
                    <w:t> </w:t>
                  </w:r>
                  <w:r>
                    <w:rPr>
                      <w:noProof/>
                      <w:color w:val="0000FF"/>
                    </w:rPr>
                    <w:drawing>
                      <wp:inline distT="0" distB="0" distL="0" distR="0">
                        <wp:extent cx="342900" cy="342900"/>
                        <wp:effectExtent l="0" t="0" r="0" b="0"/>
                        <wp:docPr id="1" name="Picture 1" descr="http://www.mizzou.com/s/1002/images/editor/vet_med/you-tube-large.png">
                          <a:hlinkClick xmlns:a="http://schemas.openxmlformats.org/drawingml/2006/main" r:id="rId3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mizzou.com/s/1002/images/editor/vet_med/you-tube-large.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2900" cy="342900"/>
                                </a:xfrm>
                                <a:prstGeom prst="rect">
                                  <a:avLst/>
                                </a:prstGeom>
                                <a:noFill/>
                                <a:ln>
                                  <a:noFill/>
                                </a:ln>
                              </pic:spPr>
                            </pic:pic>
                          </a:graphicData>
                        </a:graphic>
                      </wp:inline>
                    </w:drawing>
                  </w:r>
                </w:p>
              </w:tc>
              <w:tc>
                <w:tcPr>
                  <w:tcW w:w="0" w:type="auto"/>
                  <w:shd w:val="clear" w:color="auto" w:fill="EAEABD"/>
                  <w:tcMar>
                    <w:top w:w="15" w:type="dxa"/>
                    <w:left w:w="15" w:type="dxa"/>
                    <w:bottom w:w="15" w:type="dxa"/>
                    <w:right w:w="15" w:type="dxa"/>
                  </w:tcMar>
                  <w:vAlign w:val="center"/>
                  <w:hideMark/>
                </w:tcPr>
                <w:p w:rsidR="00024ABB" w:rsidRDefault="00024ABB"/>
              </w:tc>
            </w:tr>
          </w:tbl>
          <w:p w:rsidR="00024ABB" w:rsidRDefault="00024ABB">
            <w:pPr>
              <w:jc w:val="center"/>
              <w:rPr>
                <w:rFonts w:eastAsia="Times New Roman"/>
                <w:sz w:val="20"/>
                <w:szCs w:val="20"/>
              </w:rPr>
            </w:pPr>
          </w:p>
        </w:tc>
      </w:tr>
      <w:tr w:rsidR="00024ABB" w:rsidTr="00024ABB">
        <w:trPr>
          <w:tblCellSpacing w:w="15" w:type="dxa"/>
        </w:trPr>
        <w:tc>
          <w:tcPr>
            <w:tcW w:w="0" w:type="auto"/>
            <w:gridSpan w:val="2"/>
            <w:shd w:val="clear" w:color="auto" w:fill="666666"/>
            <w:tcMar>
              <w:top w:w="15" w:type="dxa"/>
              <w:left w:w="15" w:type="dxa"/>
              <w:bottom w:w="15" w:type="dxa"/>
              <w:right w:w="15" w:type="dxa"/>
            </w:tcMar>
            <w:vAlign w:val="center"/>
            <w:hideMark/>
          </w:tcPr>
          <w:p w:rsidR="00024ABB" w:rsidRDefault="00024ABB">
            <w:r>
              <w:lastRenderedPageBreak/>
              <w:t> </w:t>
            </w:r>
          </w:p>
        </w:tc>
      </w:tr>
    </w:tbl>
    <w:p w:rsidR="009C516A" w:rsidRDefault="009C516A">
      <w:bookmarkStart w:id="0" w:name="_GoBack"/>
      <w:bookmarkEnd w:id="0"/>
    </w:p>
    <w:sectPr w:rsidR="009C516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4ABB"/>
    <w:rsid w:val="00024ABB"/>
    <w:rsid w:val="009C51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0D635FC9-222F-4A80-AF35-15E22E2B13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4ABB"/>
    <w:pPr>
      <w:spacing w:after="0" w:line="240" w:lineRule="auto"/>
    </w:pPr>
    <w:rPr>
      <w:rFonts w:ascii="Times New Roman" w:hAnsi="Times New Roman" w:cs="Times New Roman"/>
      <w:sz w:val="24"/>
      <w:szCs w:val="24"/>
    </w:rPr>
  </w:style>
  <w:style w:type="paragraph" w:styleId="Heading3">
    <w:name w:val="heading 3"/>
    <w:basedOn w:val="Normal"/>
    <w:link w:val="Heading3Char"/>
    <w:uiPriority w:val="9"/>
    <w:semiHidden/>
    <w:unhideWhenUsed/>
    <w:qFormat/>
    <w:rsid w:val="00024ABB"/>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024ABB"/>
    <w:rPr>
      <w:rFonts w:ascii="Times New Roman" w:hAnsi="Times New Roman" w:cs="Times New Roman"/>
      <w:b/>
      <w:bCs/>
      <w:sz w:val="27"/>
      <w:szCs w:val="27"/>
    </w:rPr>
  </w:style>
  <w:style w:type="character" w:styleId="Hyperlink">
    <w:name w:val="Hyperlink"/>
    <w:basedOn w:val="DefaultParagraphFont"/>
    <w:uiPriority w:val="99"/>
    <w:semiHidden/>
    <w:unhideWhenUsed/>
    <w:rsid w:val="00024ABB"/>
    <w:rPr>
      <w:color w:val="0000FF"/>
      <w:u w:val="single"/>
    </w:rPr>
  </w:style>
  <w:style w:type="paragraph" w:styleId="NormalWeb">
    <w:name w:val="Normal (Web)"/>
    <w:basedOn w:val="Normal"/>
    <w:uiPriority w:val="99"/>
    <w:semiHidden/>
    <w:unhideWhenUsed/>
    <w:rsid w:val="00024ABB"/>
    <w:pPr>
      <w:spacing w:before="100" w:beforeAutospacing="1" w:after="100" w:afterAutospacing="1"/>
    </w:pPr>
  </w:style>
  <w:style w:type="character" w:styleId="Strong">
    <w:name w:val="Strong"/>
    <w:basedOn w:val="DefaultParagraphFont"/>
    <w:uiPriority w:val="22"/>
    <w:qFormat/>
    <w:rsid w:val="00024ABB"/>
    <w:rPr>
      <w:b/>
      <w:bCs/>
    </w:rPr>
  </w:style>
  <w:style w:type="character" w:styleId="Emphasis">
    <w:name w:val="Emphasis"/>
    <w:basedOn w:val="DefaultParagraphFont"/>
    <w:uiPriority w:val="20"/>
    <w:qFormat/>
    <w:rsid w:val="00024AB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3832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mizzou.com/redirect.aspx?linkID=1209192&amp;eid=81284" TargetMode="External"/><Relationship Id="rId18" Type="http://schemas.openxmlformats.org/officeDocument/2006/relationships/hyperlink" Target="http://www.mizzou.com/redirect.aspx?linkID=1209185&amp;eid=81284" TargetMode="External"/><Relationship Id="rId26" Type="http://schemas.openxmlformats.org/officeDocument/2006/relationships/hyperlink" Target="http://www.mizzou.com/redirect.aspx?linkID=1209170&amp;eid=81284" TargetMode="External"/><Relationship Id="rId3" Type="http://schemas.openxmlformats.org/officeDocument/2006/relationships/webSettings" Target="webSettings.xml"/><Relationship Id="rId21" Type="http://schemas.openxmlformats.org/officeDocument/2006/relationships/hyperlink" Target="http://www.mizzou.com/redirect.aspx?linkID=1209179&amp;eid=81284" TargetMode="External"/><Relationship Id="rId7" Type="http://schemas.openxmlformats.org/officeDocument/2006/relationships/hyperlink" Target="http://www.mizzou.com/redirect.aspx?linkID=1209196&amp;eid=81284" TargetMode="External"/><Relationship Id="rId12" Type="http://schemas.openxmlformats.org/officeDocument/2006/relationships/image" Target="media/image3.jpeg"/><Relationship Id="rId17" Type="http://schemas.openxmlformats.org/officeDocument/2006/relationships/hyperlink" Target="http://www.mizzou.com/redirect.aspx?linkID=1209186&amp;eid=81284" TargetMode="External"/><Relationship Id="rId25" Type="http://schemas.openxmlformats.org/officeDocument/2006/relationships/hyperlink" Target="http://www.mizzou.com/redirect.aspx?linkID=1209172&amp;eid=81284" TargetMode="External"/><Relationship Id="rId3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www.mizzou.com/redirect.aspx?linkID=1209189&amp;eid=81284" TargetMode="External"/><Relationship Id="rId20" Type="http://schemas.openxmlformats.org/officeDocument/2006/relationships/hyperlink" Target="http://www.mizzou.com/redirect.aspx?linkID=1209181&amp;eid=81284" TargetMode="External"/><Relationship Id="rId29" Type="http://schemas.openxmlformats.org/officeDocument/2006/relationships/image" Target="media/image7.png"/><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yperlink" Target="http://www.mizzou.com/redirect.aspx?linkID=1209193&amp;eid=81284" TargetMode="External"/><Relationship Id="rId24" Type="http://schemas.openxmlformats.org/officeDocument/2006/relationships/hyperlink" Target="http://www.mizzou.com/redirect.aspx?linkID=1209174&amp;eid=81284" TargetMode="External"/><Relationship Id="rId32" Type="http://schemas.openxmlformats.org/officeDocument/2006/relationships/fontTable" Target="fontTable.xml"/><Relationship Id="rId5" Type="http://schemas.openxmlformats.org/officeDocument/2006/relationships/image" Target="http://www.mizzou.com/s/1002/images/editor/vet_med/cvm_logo_gold.png" TargetMode="External"/><Relationship Id="rId15" Type="http://schemas.openxmlformats.org/officeDocument/2006/relationships/image" Target="media/image4.jpeg"/><Relationship Id="rId23" Type="http://schemas.openxmlformats.org/officeDocument/2006/relationships/image" Target="media/image5.jpeg"/><Relationship Id="rId28" Type="http://schemas.openxmlformats.org/officeDocument/2006/relationships/hyperlink" Target="http://www.mizzou.com/redirect.aspx?linkID=1209168&amp;eid=81284" TargetMode="External"/><Relationship Id="rId10" Type="http://schemas.openxmlformats.org/officeDocument/2006/relationships/hyperlink" Target="http://www.mizzou.com/redirect.aspx?linkID=1209194&amp;eid=81284" TargetMode="External"/><Relationship Id="rId19" Type="http://schemas.openxmlformats.org/officeDocument/2006/relationships/hyperlink" Target="http://www.mizzou.com/redirect.aspx?linkID=1209183&amp;eid=81284" TargetMode="External"/><Relationship Id="rId31" Type="http://schemas.openxmlformats.org/officeDocument/2006/relationships/image" Target="media/image8.png"/><Relationship Id="rId4" Type="http://schemas.openxmlformats.org/officeDocument/2006/relationships/hyperlink" Target="http://www.mizzou.com/redirect.aspx?linkID=1209197&amp;eid=81284" TargetMode="External"/><Relationship Id="rId9" Type="http://schemas.openxmlformats.org/officeDocument/2006/relationships/hyperlink" Target="http://www.mizzou.com/redirect.aspx?linkID=1209195&amp;eid=81284" TargetMode="External"/><Relationship Id="rId14" Type="http://schemas.openxmlformats.org/officeDocument/2006/relationships/hyperlink" Target="http://www.mizzou.com/redirect.aspx?linkID=1209191&amp;eid=81284" TargetMode="External"/><Relationship Id="rId22" Type="http://schemas.openxmlformats.org/officeDocument/2006/relationships/hyperlink" Target="http://www.mizzou.com/redirect.aspx?linkID=1209177&amp;eid=81284" TargetMode="External"/><Relationship Id="rId27" Type="http://schemas.openxmlformats.org/officeDocument/2006/relationships/image" Target="media/image6.png"/><Relationship Id="rId30" Type="http://schemas.openxmlformats.org/officeDocument/2006/relationships/hyperlink" Target="http://www.mizzou.com/redirect.aspx?linkID=1209166&amp;eid=8128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424</Words>
  <Characters>2422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Missouri</Company>
  <LinksUpToDate>false</LinksUpToDate>
  <CharactersWithSpaces>2841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Arden, Adrienne J.</dc:creator>
  <cp:keywords/>
  <dc:description/>
  <cp:lastModifiedBy>Arden, Adrienne J.</cp:lastModifiedBy>
  <cp:revision>1</cp:revision>
  <dcterms:created xsi:type="dcterms:W3CDTF">2014-03-04T18:48:00Z</dcterms:created>
  <dcterms:modified xsi:type="dcterms:W3CDTF">2014-03-04T18:50:00Z</dcterms:modified>
</cp:coreProperties>
</file>